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493E55" w:rsidRDefault="00CD4C7B" w:rsidP="00CD4C7B">
      <w:pPr>
        <w:pStyle w:val="Header"/>
        <w:tabs>
          <w:tab w:val="right" w:pos="9639"/>
        </w:tabs>
        <w:rPr>
          <w:bCs/>
          <w:i/>
          <w:noProof w:val="0"/>
          <w:sz w:val="24"/>
          <w:szCs w:val="24"/>
        </w:rPr>
      </w:pPr>
      <w:r w:rsidRPr="00493E55">
        <w:rPr>
          <w:bCs/>
          <w:noProof w:val="0"/>
          <w:sz w:val="24"/>
          <w:szCs w:val="24"/>
        </w:rPr>
        <w:t>3GPP T</w:t>
      </w:r>
      <w:bookmarkStart w:id="0" w:name="_Ref452454252"/>
      <w:bookmarkEnd w:id="0"/>
      <w:r w:rsidRPr="00493E55">
        <w:rPr>
          <w:bCs/>
          <w:noProof w:val="0"/>
          <w:sz w:val="24"/>
          <w:szCs w:val="24"/>
        </w:rPr>
        <w:t xml:space="preserve">SG-RAN </w:t>
      </w:r>
      <w:r w:rsidR="00936071" w:rsidRPr="00493E55">
        <w:rPr>
          <w:noProof w:val="0"/>
          <w:sz w:val="24"/>
          <w:szCs w:val="24"/>
        </w:rPr>
        <w:t xml:space="preserve">WG2 </w:t>
      </w:r>
      <w:r w:rsidR="00902DB9" w:rsidRPr="00493E55">
        <w:rPr>
          <w:noProof w:val="0"/>
          <w:sz w:val="24"/>
          <w:szCs w:val="24"/>
        </w:rPr>
        <w:t>Meeting #97</w:t>
      </w:r>
      <w:r w:rsidR="00813245" w:rsidRPr="00493E55">
        <w:rPr>
          <w:noProof w:val="0"/>
          <w:sz w:val="24"/>
          <w:szCs w:val="24"/>
        </w:rPr>
        <w:t>bis</w:t>
      </w:r>
      <w:r w:rsidRPr="00493E55">
        <w:rPr>
          <w:bCs/>
          <w:noProof w:val="0"/>
          <w:sz w:val="24"/>
          <w:szCs w:val="24"/>
        </w:rPr>
        <w:tab/>
      </w:r>
      <w:r w:rsidRPr="00493E55">
        <w:rPr>
          <w:rFonts w:hint="eastAsia"/>
          <w:bCs/>
          <w:noProof w:val="0"/>
          <w:sz w:val="24"/>
          <w:szCs w:val="24"/>
        </w:rPr>
        <w:t>R</w:t>
      </w:r>
      <w:r w:rsidRPr="00493E55">
        <w:rPr>
          <w:bCs/>
          <w:noProof w:val="0"/>
          <w:sz w:val="24"/>
          <w:szCs w:val="24"/>
        </w:rPr>
        <w:t>2</w:t>
      </w:r>
      <w:r w:rsidRPr="00493E55">
        <w:rPr>
          <w:rFonts w:hint="eastAsia"/>
          <w:bCs/>
          <w:noProof w:val="0"/>
          <w:sz w:val="24"/>
          <w:szCs w:val="24"/>
        </w:rPr>
        <w:t>-</w:t>
      </w:r>
      <w:r w:rsidRPr="00493E55">
        <w:rPr>
          <w:bCs/>
          <w:noProof w:val="0"/>
          <w:sz w:val="24"/>
          <w:szCs w:val="24"/>
        </w:rPr>
        <w:t>1</w:t>
      </w:r>
      <w:r w:rsidR="00936071" w:rsidRPr="00493E55">
        <w:rPr>
          <w:bCs/>
          <w:noProof w:val="0"/>
          <w:sz w:val="24"/>
          <w:szCs w:val="24"/>
        </w:rPr>
        <w:t>7</w:t>
      </w:r>
      <w:r w:rsidR="00950D72">
        <w:rPr>
          <w:bCs/>
          <w:noProof w:val="0"/>
          <w:sz w:val="24"/>
          <w:szCs w:val="24"/>
        </w:rPr>
        <w:t>02631</w:t>
      </w:r>
    </w:p>
    <w:p w:rsidR="00CD4C7B" w:rsidRPr="00493E55" w:rsidRDefault="00940212" w:rsidP="00CD4C7B">
      <w:pPr>
        <w:pStyle w:val="Header"/>
        <w:tabs>
          <w:tab w:val="right" w:pos="9639"/>
        </w:tabs>
        <w:rPr>
          <w:bCs/>
          <w:noProof w:val="0"/>
          <w:sz w:val="24"/>
          <w:szCs w:val="24"/>
        </w:rPr>
      </w:pPr>
      <w:r w:rsidRPr="00493E55">
        <w:rPr>
          <w:rFonts w:eastAsia="SimSun"/>
          <w:noProof w:val="0"/>
          <w:sz w:val="24"/>
          <w:szCs w:val="24"/>
          <w:lang w:eastAsia="zh-CN"/>
        </w:rPr>
        <w:t>Spokane</w:t>
      </w:r>
      <w:r w:rsidR="00C24650" w:rsidRPr="00493E55">
        <w:rPr>
          <w:rFonts w:eastAsia="SimSun"/>
          <w:noProof w:val="0"/>
          <w:sz w:val="24"/>
          <w:szCs w:val="24"/>
          <w:lang w:eastAsia="zh-CN"/>
        </w:rPr>
        <w:t xml:space="preserve">, </w:t>
      </w:r>
      <w:r w:rsidRPr="00493E55">
        <w:rPr>
          <w:rFonts w:eastAsia="SimSun"/>
          <w:noProof w:val="0"/>
          <w:sz w:val="24"/>
          <w:szCs w:val="24"/>
          <w:lang w:eastAsia="zh-CN"/>
        </w:rPr>
        <w:t>USA</w:t>
      </w:r>
      <w:r w:rsidR="00C24650" w:rsidRPr="00493E55">
        <w:rPr>
          <w:rFonts w:eastAsia="SimSun"/>
          <w:noProof w:val="0"/>
          <w:sz w:val="24"/>
          <w:szCs w:val="24"/>
          <w:lang w:eastAsia="zh-CN"/>
        </w:rPr>
        <w:t xml:space="preserve">, </w:t>
      </w:r>
      <w:r w:rsidR="00813245" w:rsidRPr="00493E55">
        <w:rPr>
          <w:rFonts w:eastAsia="SimSun"/>
          <w:noProof w:val="0"/>
          <w:sz w:val="24"/>
          <w:szCs w:val="24"/>
          <w:lang w:eastAsia="zh-CN"/>
        </w:rPr>
        <w:t>3</w:t>
      </w:r>
      <w:r w:rsidR="00C92967" w:rsidRPr="00493E55">
        <w:rPr>
          <w:rFonts w:eastAsia="SimSun"/>
          <w:noProof w:val="0"/>
          <w:sz w:val="24"/>
          <w:szCs w:val="24"/>
          <w:lang w:eastAsia="zh-CN"/>
        </w:rPr>
        <w:t xml:space="preserve"> - </w:t>
      </w:r>
      <w:r w:rsidR="00813245" w:rsidRPr="00493E55">
        <w:rPr>
          <w:rFonts w:eastAsia="SimSun"/>
          <w:noProof w:val="0"/>
          <w:sz w:val="24"/>
          <w:szCs w:val="24"/>
          <w:lang w:eastAsia="zh-CN"/>
        </w:rPr>
        <w:t>7</w:t>
      </w:r>
      <w:r w:rsidR="00C92967" w:rsidRPr="00493E55">
        <w:rPr>
          <w:rFonts w:eastAsia="SimSun"/>
          <w:noProof w:val="0"/>
          <w:sz w:val="24"/>
          <w:szCs w:val="24"/>
          <w:lang w:eastAsia="zh-CN"/>
        </w:rPr>
        <w:t xml:space="preserve"> </w:t>
      </w:r>
      <w:r w:rsidR="00813245" w:rsidRPr="00493E55">
        <w:rPr>
          <w:rFonts w:eastAsia="SimSun"/>
          <w:noProof w:val="0"/>
          <w:sz w:val="24"/>
          <w:szCs w:val="24"/>
          <w:lang w:eastAsia="zh-CN"/>
        </w:rPr>
        <w:t xml:space="preserve">April </w:t>
      </w:r>
      <w:r w:rsidR="00C24650" w:rsidRPr="00493E55">
        <w:rPr>
          <w:rFonts w:eastAsia="SimSun"/>
          <w:noProof w:val="0"/>
          <w:sz w:val="24"/>
          <w:szCs w:val="24"/>
          <w:lang w:eastAsia="zh-CN"/>
        </w:rPr>
        <w:t>201</w:t>
      </w:r>
      <w:r w:rsidR="00936071" w:rsidRPr="00493E55">
        <w:rPr>
          <w:rFonts w:eastAsia="SimSun"/>
          <w:noProof w:val="0"/>
          <w:sz w:val="24"/>
          <w:szCs w:val="24"/>
          <w:lang w:eastAsia="zh-CN"/>
        </w:rPr>
        <w:t>7</w:t>
      </w:r>
    </w:p>
    <w:p w:rsidR="00CD4C7B" w:rsidRPr="00493E55" w:rsidRDefault="00CD4C7B" w:rsidP="00CD4C7B">
      <w:pPr>
        <w:pStyle w:val="Header"/>
        <w:rPr>
          <w:bCs/>
          <w:noProof w:val="0"/>
          <w:sz w:val="24"/>
        </w:rPr>
      </w:pPr>
    </w:p>
    <w:p w:rsidR="00CD4C7B" w:rsidRPr="00493E55" w:rsidRDefault="00CD4C7B" w:rsidP="00CD4C7B">
      <w:pPr>
        <w:pStyle w:val="Header"/>
        <w:rPr>
          <w:bCs/>
          <w:noProof w:val="0"/>
          <w:sz w:val="24"/>
        </w:rPr>
      </w:pPr>
    </w:p>
    <w:p w:rsidR="00CD4C7B" w:rsidRPr="00493E55" w:rsidRDefault="00CD4C7B" w:rsidP="00CD4C7B">
      <w:pPr>
        <w:pStyle w:val="CRCoverPage"/>
        <w:tabs>
          <w:tab w:val="left" w:pos="1985"/>
        </w:tabs>
        <w:rPr>
          <w:rFonts w:cs="Arial"/>
          <w:b/>
          <w:bCs/>
          <w:sz w:val="24"/>
          <w:lang w:eastAsia="ja-JP"/>
        </w:rPr>
      </w:pPr>
      <w:r w:rsidRPr="00493E55">
        <w:rPr>
          <w:rFonts w:cs="Arial"/>
          <w:b/>
          <w:bCs/>
          <w:sz w:val="24"/>
        </w:rPr>
        <w:t>Agenda item:</w:t>
      </w:r>
      <w:r w:rsidRPr="00493E55">
        <w:rPr>
          <w:rFonts w:cs="Arial"/>
          <w:b/>
          <w:bCs/>
          <w:sz w:val="24"/>
        </w:rPr>
        <w:tab/>
      </w:r>
      <w:r w:rsidR="00400709">
        <w:rPr>
          <w:rFonts w:cs="Arial"/>
          <w:b/>
          <w:bCs/>
          <w:sz w:val="24"/>
          <w:lang w:eastAsia="ja-JP"/>
        </w:rPr>
        <w:t>10.2.2.2</w:t>
      </w:r>
    </w:p>
    <w:p w:rsidR="00CD4C7B" w:rsidRPr="00493E55" w:rsidRDefault="00CD4C7B" w:rsidP="00CD4C7B">
      <w:pPr>
        <w:tabs>
          <w:tab w:val="left" w:pos="1985"/>
        </w:tabs>
        <w:ind w:left="1985" w:hanging="1985"/>
        <w:rPr>
          <w:rFonts w:ascii="Arial" w:hAnsi="Arial" w:cs="Arial"/>
          <w:b/>
          <w:bCs/>
          <w:sz w:val="24"/>
        </w:rPr>
      </w:pPr>
      <w:r w:rsidRPr="00493E55">
        <w:rPr>
          <w:rFonts w:ascii="Arial" w:hAnsi="Arial" w:cs="Arial"/>
          <w:b/>
          <w:bCs/>
          <w:sz w:val="24"/>
        </w:rPr>
        <w:t>Source:</w:t>
      </w:r>
      <w:r w:rsidRPr="00493E55">
        <w:rPr>
          <w:rFonts w:ascii="Arial" w:hAnsi="Arial" w:cs="Arial"/>
          <w:b/>
          <w:bCs/>
          <w:sz w:val="24"/>
        </w:rPr>
        <w:tab/>
      </w:r>
      <w:r w:rsidR="001741A0" w:rsidRPr="00493E55">
        <w:rPr>
          <w:rFonts w:ascii="Arial" w:hAnsi="Arial" w:cs="Arial"/>
          <w:b/>
          <w:bCs/>
          <w:sz w:val="24"/>
        </w:rPr>
        <w:t>Nokia</w:t>
      </w:r>
      <w:r w:rsidR="00090468" w:rsidRPr="00493E55">
        <w:rPr>
          <w:rFonts w:ascii="Arial" w:hAnsi="Arial" w:cs="Arial"/>
          <w:b/>
          <w:bCs/>
          <w:sz w:val="24"/>
        </w:rPr>
        <w:t>, Alcatel-Lucent Shanghai Bell</w:t>
      </w:r>
    </w:p>
    <w:p w:rsidR="00CD4C7B" w:rsidRPr="00493E55" w:rsidRDefault="00CD4C7B" w:rsidP="00CD4C7B">
      <w:pPr>
        <w:ind w:left="1985" w:hanging="1985"/>
        <w:rPr>
          <w:rFonts w:ascii="Arial" w:hAnsi="Arial" w:cs="Arial"/>
          <w:b/>
          <w:bCs/>
          <w:sz w:val="24"/>
        </w:rPr>
      </w:pPr>
      <w:r w:rsidRPr="00493E55">
        <w:rPr>
          <w:rFonts w:ascii="Arial" w:hAnsi="Arial" w:cs="Arial"/>
          <w:b/>
          <w:bCs/>
          <w:sz w:val="24"/>
        </w:rPr>
        <w:t>Title:</w:t>
      </w:r>
      <w:r w:rsidRPr="00493E55">
        <w:rPr>
          <w:rFonts w:ascii="Arial" w:hAnsi="Arial" w:cs="Arial"/>
          <w:b/>
          <w:bCs/>
          <w:sz w:val="24"/>
        </w:rPr>
        <w:tab/>
      </w:r>
      <w:r w:rsidR="002E20A2" w:rsidRPr="00493E55">
        <w:rPr>
          <w:rFonts w:ascii="Arial" w:hAnsi="Arial" w:cs="Arial"/>
          <w:b/>
          <w:bCs/>
          <w:sz w:val="24"/>
        </w:rPr>
        <w:t>S-RLF with Tight Interworking</w:t>
      </w:r>
    </w:p>
    <w:p w:rsidR="007E690E" w:rsidRDefault="007E690E" w:rsidP="007E690E">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rsidR="00CD4C7B" w:rsidRPr="00493E55" w:rsidRDefault="00CD4C7B" w:rsidP="00CD4C7B">
      <w:pPr>
        <w:tabs>
          <w:tab w:val="left" w:pos="1985"/>
        </w:tabs>
        <w:rPr>
          <w:rFonts w:ascii="Arial" w:hAnsi="Arial" w:cs="Arial"/>
          <w:b/>
          <w:bCs/>
          <w:sz w:val="24"/>
        </w:rPr>
      </w:pPr>
      <w:r w:rsidRPr="00493E55">
        <w:rPr>
          <w:rFonts w:ascii="Arial" w:hAnsi="Arial" w:cs="Arial"/>
          <w:b/>
          <w:bCs/>
          <w:sz w:val="24"/>
        </w:rPr>
        <w:t>Document for:</w:t>
      </w:r>
      <w:r w:rsidRPr="00493E55">
        <w:rPr>
          <w:rFonts w:ascii="Arial" w:hAnsi="Arial" w:cs="Arial"/>
          <w:b/>
          <w:bCs/>
          <w:sz w:val="24"/>
        </w:rPr>
        <w:tab/>
        <w:t>Discussion and Decision</w:t>
      </w:r>
    </w:p>
    <w:p w:rsidR="00CD4C7B" w:rsidRPr="00493E55" w:rsidRDefault="00CD4C7B" w:rsidP="00CD4C7B">
      <w:pPr>
        <w:pStyle w:val="Heading1"/>
      </w:pPr>
      <w:r w:rsidRPr="00493E55">
        <w:t>1</w:t>
      </w:r>
      <w:r w:rsidRPr="00493E55">
        <w:tab/>
      </w:r>
      <w:r w:rsidR="0056573F" w:rsidRPr="00493E55">
        <w:t>Introduction</w:t>
      </w:r>
    </w:p>
    <w:p w:rsidR="00CD4C7B" w:rsidRPr="00493E55" w:rsidRDefault="00D76973" w:rsidP="00CD4C7B">
      <w:r w:rsidRPr="00493E55">
        <w:t xml:space="preserve">This contribution </w:t>
      </w:r>
      <w:r w:rsidR="0087190C" w:rsidRPr="00493E55">
        <w:t>discusses</w:t>
      </w:r>
      <w:r w:rsidRPr="00493E55">
        <w:t xml:space="preserve"> the handling of RLF in NR </w:t>
      </w:r>
      <w:r w:rsidR="00B24AC9" w:rsidRPr="00493E55">
        <w:t xml:space="preserve">with Tight Interworking </w:t>
      </w:r>
      <w:r w:rsidRPr="00493E55">
        <w:t xml:space="preserve">and the </w:t>
      </w:r>
      <w:r w:rsidR="00B24AC9" w:rsidRPr="00493E55">
        <w:t xml:space="preserve">possible </w:t>
      </w:r>
      <w:r w:rsidRPr="00493E55">
        <w:t>impacts on SCG Split Bearers</w:t>
      </w:r>
      <w:r w:rsidR="0056573F" w:rsidRPr="00493E55">
        <w:t>.</w:t>
      </w:r>
    </w:p>
    <w:p w:rsidR="00CD4C7B" w:rsidRPr="00493E55" w:rsidRDefault="00CD4C7B" w:rsidP="00CD4C7B">
      <w:pPr>
        <w:pStyle w:val="Heading1"/>
      </w:pPr>
      <w:r w:rsidRPr="00493E55">
        <w:t>2</w:t>
      </w:r>
      <w:r w:rsidRPr="00493E55">
        <w:tab/>
      </w:r>
      <w:r w:rsidR="00D76973" w:rsidRPr="00493E55">
        <w:t>Dual Connectivity</w:t>
      </w:r>
      <w:r w:rsidR="00B24AC9" w:rsidRPr="00493E55">
        <w:t xml:space="preserve"> in Rel-12</w:t>
      </w:r>
    </w:p>
    <w:p w:rsidR="002E20A2" w:rsidRPr="00493E55" w:rsidRDefault="002E20A2" w:rsidP="002E20A2">
      <w:pPr>
        <w:pStyle w:val="Heading2"/>
      </w:pPr>
      <w:r w:rsidRPr="00493E55">
        <w:t>2.1</w:t>
      </w:r>
      <w:r w:rsidRPr="00493E55">
        <w:tab/>
        <w:t>Agreements</w:t>
      </w:r>
    </w:p>
    <w:p w:rsidR="002E20A2" w:rsidRPr="00493E55" w:rsidRDefault="002E20A2" w:rsidP="00CD4C7B">
      <w:r w:rsidRPr="00493E55">
        <w:t>The main agreements related to the handling of RLF in SCG (S-RLF) were taken at RAN2#87bis:</w:t>
      </w:r>
    </w:p>
    <w:p w:rsidR="002E20A2" w:rsidRPr="00493E55" w:rsidRDefault="003333F1" w:rsidP="002E20A2">
      <w:pPr>
        <w:pStyle w:val="Doc-title"/>
        <w:ind w:left="1543"/>
        <w:rPr>
          <w:i/>
        </w:rPr>
      </w:pPr>
      <w:hyperlink r:id="rId7" w:history="1">
        <w:r w:rsidR="002E20A2" w:rsidRPr="00493E55">
          <w:rPr>
            <w:rStyle w:val="Hyperlink"/>
            <w:i/>
          </w:rPr>
          <w:t>R2-144540</w:t>
        </w:r>
      </w:hyperlink>
      <w:r w:rsidR="002E20A2" w:rsidRPr="00493E55">
        <w:rPr>
          <w:i/>
        </w:rPr>
        <w:tab/>
        <w:t xml:space="preserve">Report and summary of email discussion [87#22] [LTE/DC] S-RLF and Reestablishment; Huawei (Rapporteur); Report; result of email discussion [87#22] [LTE/DC] S-RLF and Reestablishment; </w:t>
      </w:r>
    </w:p>
    <w:p w:rsidR="002E20A2" w:rsidRPr="00493E55" w:rsidRDefault="002E20A2" w:rsidP="002E20A2">
      <w:pPr>
        <w:pStyle w:val="Doc-text2"/>
        <w:ind w:left="1906"/>
        <w:rPr>
          <w:i/>
        </w:rPr>
      </w:pPr>
      <w:r w:rsidRPr="00493E55">
        <w:rPr>
          <w:i/>
        </w:rPr>
        <w:t xml:space="preserve">Proposal 1: </w:t>
      </w:r>
    </w:p>
    <w:p w:rsidR="002E20A2" w:rsidRPr="00493E55" w:rsidRDefault="002E20A2" w:rsidP="002E20A2">
      <w:pPr>
        <w:pStyle w:val="Doc-text2"/>
        <w:ind w:left="1906"/>
        <w:rPr>
          <w:i/>
        </w:rPr>
      </w:pPr>
      <w:r w:rsidRPr="00493E55">
        <w:rPr>
          <w:i/>
        </w:rPr>
        <w:t>-</w:t>
      </w:r>
      <w:r w:rsidRPr="00493E55">
        <w:rPr>
          <w:i/>
        </w:rPr>
        <w:tab/>
        <w:t xml:space="preserve">Nokia Networks thinks that we can go with the proposal but should consider adding it if we decide to address the legacy case. </w:t>
      </w:r>
    </w:p>
    <w:p w:rsidR="002E20A2" w:rsidRPr="00493E55" w:rsidRDefault="002E20A2" w:rsidP="002E20A2">
      <w:pPr>
        <w:pStyle w:val="Doc-text2"/>
        <w:ind w:left="1906"/>
        <w:rPr>
          <w:i/>
        </w:rPr>
      </w:pPr>
      <w:r w:rsidRPr="00493E55">
        <w:rPr>
          <w:i/>
        </w:rPr>
        <w:t xml:space="preserve">Proposal 3: </w:t>
      </w:r>
    </w:p>
    <w:p w:rsidR="002E20A2" w:rsidRPr="00493E55" w:rsidRDefault="002E20A2" w:rsidP="002E20A2">
      <w:pPr>
        <w:pStyle w:val="Doc-text2"/>
        <w:ind w:left="1906"/>
        <w:rPr>
          <w:i/>
        </w:rPr>
      </w:pPr>
      <w:r w:rsidRPr="00493E55">
        <w:rPr>
          <w:i/>
        </w:rPr>
        <w:t>-</w:t>
      </w:r>
      <w:r w:rsidRPr="00493E55">
        <w:rPr>
          <w:i/>
        </w:rPr>
        <w:tab/>
        <w:t xml:space="preserve">Ericsson wonders how the initial RA problem is detected as raised in some contributions. Ericsson thinks that we need to be able to detect if no preambles are sent. Ericsson wonders whether this would be an RA or RLM failure. QC agrees that even for the RA the UE has to monitor the L1 control channels. Therefore, it anyway performs RLM before starting RA. Nokia Networks agrees that there need to be means to detect that the cell is not accessible. Huawei thinks that the reporting should be correct. Huawei agrees that UE can start monitoring L1 but it does today not start T310 before RA has been completed. Hence, if the UE detects a L1 sync problem during this phase it should not report RLM failure but rather RA failure. ALU thinks that the UE performs RLM once it synchronizes to a cell. </w:t>
      </w:r>
    </w:p>
    <w:p w:rsidR="002E20A2" w:rsidRPr="00493E55" w:rsidRDefault="002E20A2" w:rsidP="002E20A2">
      <w:pPr>
        <w:pStyle w:val="Doc-text2"/>
        <w:ind w:left="1906"/>
        <w:rPr>
          <w:i/>
        </w:rPr>
      </w:pPr>
      <w:r w:rsidRPr="00493E55">
        <w:rPr>
          <w:i/>
        </w:rPr>
        <w:t xml:space="preserve">Proposal 12: </w:t>
      </w:r>
    </w:p>
    <w:p w:rsidR="002E20A2" w:rsidRPr="00493E55" w:rsidRDefault="002E20A2" w:rsidP="002E20A2">
      <w:pPr>
        <w:pStyle w:val="Doc-text2"/>
        <w:ind w:left="1906"/>
        <w:rPr>
          <w:i/>
        </w:rPr>
      </w:pPr>
      <w:r w:rsidRPr="00493E55">
        <w:rPr>
          <w:i/>
        </w:rPr>
        <w:t>-</w:t>
      </w:r>
      <w:r w:rsidRPr="00493E55">
        <w:rPr>
          <w:i/>
        </w:rPr>
        <w:tab/>
        <w:t xml:space="preserve">Ericsson is not sure whether the indication to the SeNB is really useful. Samsung agrees and is concerned that we would then discuss many other cause values. Nokia Networks is not sure whether this is useful information for the SeNB. </w:t>
      </w:r>
    </w:p>
    <w:p w:rsidR="002E20A2" w:rsidRPr="00493E55" w:rsidRDefault="002E20A2" w:rsidP="002E20A2">
      <w:pPr>
        <w:pStyle w:val="Doc-text2"/>
        <w:ind w:left="1906"/>
        <w:rPr>
          <w:i/>
        </w:rPr>
      </w:pPr>
    </w:p>
    <w:tbl>
      <w:tblPr>
        <w:tblW w:w="8009" w:type="dxa"/>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9"/>
      </w:tblGrid>
      <w:tr w:rsidR="002E20A2" w:rsidRPr="00493E55" w:rsidTr="002E20A2">
        <w:tc>
          <w:tcPr>
            <w:tcW w:w="8009" w:type="dxa"/>
            <w:shd w:val="clear" w:color="auto" w:fill="auto"/>
          </w:tcPr>
          <w:p w:rsidR="002E20A2" w:rsidRPr="00493E55" w:rsidRDefault="002E20A2" w:rsidP="002C73A6">
            <w:pPr>
              <w:pStyle w:val="Doc-text2"/>
              <w:tabs>
                <w:tab w:val="left" w:pos="340"/>
              </w:tabs>
              <w:ind w:left="340" w:hanging="340"/>
              <w:rPr>
                <w:i/>
              </w:rPr>
            </w:pPr>
            <w:r w:rsidRPr="00493E55">
              <w:rPr>
                <w:b/>
                <w:i/>
              </w:rPr>
              <w:t>Agreements</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1</w:t>
            </w:r>
            <w:r w:rsidRPr="00493E55">
              <w:rPr>
                <w:i/>
              </w:rPr>
              <w:tab/>
              <w:t>HFN de-synchronization is not added as a new trigger of S-RLF.</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2</w:t>
            </w:r>
            <w:r w:rsidRPr="00493E55">
              <w:rPr>
                <w:i/>
              </w:rPr>
              <w:tab/>
              <w:t>Similarly to how RLM is performed on PCell, physical layer problem on PSCell can be detected based on T310, N310, and N311 kind of timer and counters.</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3</w:t>
            </w:r>
            <w:r w:rsidRPr="00493E55">
              <w:rPr>
                <w:i/>
              </w:rPr>
              <w:tab/>
              <w:t>The UE starts a timer T304s (Rapporteur to choose appropriate numbers) upon reception of an RRCConnectionReconfiguration with an SCG addition (and the UE stops T310s). The timer is stopped when the RA procedure completes successfully. If the timer expires, the UE reports an S-RLF failure with a new cause value.</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lastRenderedPageBreak/>
              <w:t>3a</w:t>
            </w:r>
            <w:r w:rsidRPr="00493E55">
              <w:rPr>
                <w:i/>
              </w:rPr>
              <w:tab/>
              <w:t xml:space="preserve">SCG’s T310 is only used after successfully completing the RA procedure. </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4</w:t>
            </w:r>
            <w:r w:rsidRPr="00493E55">
              <w:rPr>
                <w:i/>
              </w:rPr>
              <w:tab/>
              <w:t>The following RLF parameters are configured:</w:t>
            </w:r>
          </w:p>
          <w:p w:rsidR="002E20A2" w:rsidRPr="00493E55" w:rsidRDefault="002E20A2" w:rsidP="002C73A6">
            <w:pPr>
              <w:pStyle w:val="Doc-text2"/>
              <w:tabs>
                <w:tab w:val="left" w:pos="340"/>
              </w:tabs>
              <w:ind w:left="340" w:hanging="340"/>
              <w:rPr>
                <w:i/>
              </w:rPr>
            </w:pPr>
            <w:r w:rsidRPr="00493E55">
              <w:rPr>
                <w:i/>
              </w:rPr>
              <w:tab/>
              <w:t>- T310, N310, N311 per CG;</w:t>
            </w:r>
          </w:p>
          <w:p w:rsidR="002E20A2" w:rsidRPr="00493E55" w:rsidRDefault="002E20A2" w:rsidP="002C73A6">
            <w:pPr>
              <w:pStyle w:val="Doc-text2"/>
              <w:tabs>
                <w:tab w:val="left" w:pos="340"/>
              </w:tabs>
              <w:ind w:left="340" w:hanging="340"/>
              <w:rPr>
                <w:i/>
              </w:rPr>
            </w:pPr>
            <w:r w:rsidRPr="00493E55">
              <w:rPr>
                <w:i/>
              </w:rPr>
              <w:tab/>
              <w:t>- Maximum RLC retransmission number per RLC entity;</w:t>
            </w:r>
          </w:p>
          <w:p w:rsidR="002E20A2" w:rsidRPr="00493E55" w:rsidRDefault="002E20A2" w:rsidP="002C73A6">
            <w:pPr>
              <w:pStyle w:val="Doc-text2"/>
              <w:tabs>
                <w:tab w:val="left" w:pos="340"/>
              </w:tabs>
              <w:ind w:left="340" w:hanging="340"/>
              <w:rPr>
                <w:i/>
              </w:rPr>
            </w:pPr>
            <w:r w:rsidRPr="00493E55">
              <w:rPr>
                <w:i/>
              </w:rPr>
              <w:tab/>
              <w:t>- Maximum preamble transmission number per CG</w:t>
            </w:r>
          </w:p>
          <w:p w:rsidR="002E20A2" w:rsidRPr="00493E55" w:rsidRDefault="002E20A2" w:rsidP="002C73A6">
            <w:pPr>
              <w:pStyle w:val="Doc-text2"/>
              <w:tabs>
                <w:tab w:val="left" w:pos="340"/>
              </w:tabs>
              <w:ind w:left="340" w:hanging="340"/>
              <w:rPr>
                <w:i/>
              </w:rPr>
            </w:pPr>
            <w:r w:rsidRPr="00493E55">
              <w:rPr>
                <w:i/>
              </w:rPr>
              <w:tab/>
              <w:t>- Value for T304s for the SCG</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5</w:t>
            </w:r>
            <w:r w:rsidRPr="00493E55">
              <w:rPr>
                <w:i/>
              </w:rPr>
              <w:tab/>
              <w:t xml:space="preserve">Upon S-RLF, UE does not autonomously change the SCG SCell status (activated/deactivated/configured). </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6</w:t>
            </w:r>
            <w:r w:rsidRPr="00493E55">
              <w:rPr>
                <w:i/>
              </w:rPr>
              <w:tab/>
              <w:t xml:space="preserve">UE shall not autonomously change UL transmission direction to MeNB upon S-RLF. </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7</w:t>
            </w:r>
            <w:r w:rsidRPr="00493E55">
              <w:rPr>
                <w:i/>
              </w:rPr>
              <w:tab/>
              <w:t>Similarly to current reestablishment, L2 behaviour is explicitly specified for UE as “UE shall suspend SCG bearer and SCG branch of split bearer, and reset SCG-MAC upon S-RLF”.</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8</w:t>
            </w:r>
            <w:r w:rsidRPr="00493E55">
              <w:rPr>
                <w:i/>
              </w:rPr>
              <w:tab/>
              <w:t>There is no need to capture “UE is not required to monitor the PDCCH for the SCG upon detecting S-RLF” in RAN2 specification.</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9</w:t>
            </w:r>
            <w:r w:rsidRPr="00493E55">
              <w:rPr>
                <w:i/>
              </w:rPr>
              <w:tab/>
              <w:t>Measurement results can be included in S-RLF report.</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10</w:t>
            </w:r>
            <w:r w:rsidRPr="00493E55">
              <w:rPr>
                <w:i/>
              </w:rPr>
              <w:tab/>
              <w:t>S-RLF report can include measurement results of all SCG serving cells + neighbour cells on each frequency for which measurement information was available, in order of decreasing RSRP.</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11</w:t>
            </w:r>
            <w:r w:rsidRPr="00493E55">
              <w:rPr>
                <w:i/>
              </w:rPr>
              <w:tab/>
              <w:t xml:space="preserve">The UE does not resume transmission and reception on the SCG unless it receiving a corresponding RRC reconfiguration message with SCG change. </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13</w:t>
            </w:r>
            <w:r w:rsidRPr="00493E55">
              <w:rPr>
                <w:i/>
              </w:rPr>
              <w:tab/>
              <w:t>There is no need to provide means for SeNB to notify failure of SCG serving cells to the MeNB.</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14</w:t>
            </w:r>
            <w:r w:rsidRPr="00493E55">
              <w:rPr>
                <w:i/>
              </w:rPr>
              <w:tab/>
              <w:t xml:space="preserve">UE shall keep EPS bearer and SCG/Split bearer configuration (including EPS bearer ID, SCG RLC configuration, and configuration of SCG PDCP for SCG bearer) during RRC reestablishment. The UE shall release everything else (SCG SCells, PSCell, MAC main configuration, …)  of the SCG during reestablishment. </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16</w:t>
            </w:r>
            <w:r w:rsidRPr="00493E55">
              <w:rPr>
                <w:i/>
              </w:rPr>
              <w:tab/>
              <w:t xml:space="preserve">The network changes SCG/Split bearer configurations to MCG bearers or releases the bearers in the first RRCConnectionReconfiguration after reestablishment. The network shall not add an SCG in the first RRCConnectionReconfiguration after reestablishment. </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17</w:t>
            </w:r>
            <w:r w:rsidRPr="00493E55">
              <w:rPr>
                <w:i/>
              </w:rPr>
              <w:tab/>
              <w:t>No additional work should be done in R12 to support successful RRC re-establishment on SeNB.</w:t>
            </w:r>
          </w:p>
          <w:p w:rsidR="002E20A2" w:rsidRPr="00493E55" w:rsidRDefault="002E20A2" w:rsidP="002C73A6">
            <w:pPr>
              <w:pStyle w:val="Doc-text2"/>
              <w:tabs>
                <w:tab w:val="left" w:pos="340"/>
              </w:tabs>
              <w:ind w:left="340" w:hanging="340"/>
              <w:rPr>
                <w:i/>
              </w:rPr>
            </w:pPr>
          </w:p>
        </w:tc>
      </w:tr>
    </w:tbl>
    <w:p w:rsidR="002E20A2" w:rsidRPr="00493E55" w:rsidRDefault="002E20A2" w:rsidP="002E20A2">
      <w:pPr>
        <w:pStyle w:val="Doc-text2"/>
        <w:ind w:left="1906"/>
        <w:rPr>
          <w:i/>
        </w:rPr>
      </w:pPr>
    </w:p>
    <w:p w:rsidR="002E20A2" w:rsidRPr="00493E55" w:rsidRDefault="002E20A2" w:rsidP="00CD4C7B">
      <w:r w:rsidRPr="00493E55">
        <w:t>Network actions were then discussed at RAN2#88:</w:t>
      </w:r>
    </w:p>
    <w:p w:rsidR="002E20A2" w:rsidRPr="00493E55" w:rsidRDefault="003333F1" w:rsidP="002E20A2">
      <w:pPr>
        <w:pStyle w:val="Doc-title"/>
        <w:ind w:left="1543"/>
        <w:rPr>
          <w:i/>
        </w:rPr>
      </w:pPr>
      <w:hyperlink r:id="rId8" w:history="1">
        <w:r w:rsidR="002E20A2" w:rsidRPr="00493E55">
          <w:rPr>
            <w:rStyle w:val="Hyperlink"/>
            <w:i/>
          </w:rPr>
          <w:t>R2-144867</w:t>
        </w:r>
      </w:hyperlink>
      <w:r w:rsidR="002E20A2" w:rsidRPr="00493E55">
        <w:rPr>
          <w:i/>
        </w:rPr>
        <w:tab/>
        <w:t xml:space="preserve">Remaining Details for SCG Failure Reporting; Nokia Networks, Nokia Corporation; Disc; </w:t>
      </w:r>
    </w:p>
    <w:p w:rsidR="002E20A2" w:rsidRPr="00493E55" w:rsidRDefault="002E20A2" w:rsidP="002E20A2">
      <w:pPr>
        <w:pStyle w:val="Comments"/>
        <w:ind w:left="284"/>
      </w:pPr>
      <w:r w:rsidRPr="00493E55">
        <w:t>[Moved from 7.1.2.1 to 7.1.1]</w:t>
      </w:r>
    </w:p>
    <w:p w:rsidR="002E20A2" w:rsidRPr="00493E55" w:rsidRDefault="002E20A2" w:rsidP="002E20A2">
      <w:pPr>
        <w:pStyle w:val="Doc-text2"/>
        <w:ind w:left="1906"/>
        <w:rPr>
          <w:i/>
        </w:rPr>
      </w:pPr>
      <w:r w:rsidRPr="00493E55">
        <w:rPr>
          <w:i/>
        </w:rPr>
        <w:t>-</w:t>
      </w:r>
      <w:r w:rsidRPr="00493E55">
        <w:rPr>
          <w:i/>
        </w:rPr>
        <w:tab/>
        <w:t xml:space="preserve">Kyocera wonders whether we would need an additional cause value sent from MeNB to SeNB. Nokia Networks does not think so. Kyocera thinks that if the MeNB decides to suggest addition of another SCG cell, it would be good to provide the reason for that. Nokia Networks thinks that the cause value discussion could be left to RAN3. ALU agrees that we don’t need another procedure from RAN2 point of view. </w:t>
      </w:r>
    </w:p>
    <w:p w:rsidR="002E20A2" w:rsidRPr="00493E55" w:rsidRDefault="002E20A2" w:rsidP="002E20A2">
      <w:pPr>
        <w:pStyle w:val="Doc-text2"/>
        <w:ind w:left="1906"/>
        <w:rPr>
          <w:i/>
        </w:rPr>
      </w:pPr>
    </w:p>
    <w:tbl>
      <w:tblPr>
        <w:tblW w:w="8009" w:type="dxa"/>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09"/>
      </w:tblGrid>
      <w:tr w:rsidR="002E20A2" w:rsidRPr="00493E55" w:rsidTr="002E20A2">
        <w:tc>
          <w:tcPr>
            <w:tcW w:w="8009" w:type="dxa"/>
            <w:shd w:val="clear" w:color="auto" w:fill="auto"/>
          </w:tcPr>
          <w:p w:rsidR="002E20A2" w:rsidRPr="00493E55" w:rsidRDefault="002E20A2" w:rsidP="002C73A6">
            <w:pPr>
              <w:pStyle w:val="Doc-text2"/>
              <w:tabs>
                <w:tab w:val="left" w:pos="340"/>
              </w:tabs>
              <w:ind w:left="340" w:hanging="340"/>
              <w:rPr>
                <w:i/>
              </w:rPr>
            </w:pPr>
            <w:r w:rsidRPr="00493E55">
              <w:rPr>
                <w:b/>
                <w:i/>
              </w:rPr>
              <w:t>Agreements</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t>1</w:t>
            </w:r>
            <w:r w:rsidRPr="00493E55">
              <w:rPr>
                <w:i/>
              </w:rPr>
              <w:tab/>
              <w:t>It is up to MeNB implementation how to react to SeNB failure report from UE and which actions to take.</w:t>
            </w:r>
          </w:p>
          <w:p w:rsidR="002E20A2" w:rsidRPr="00493E55" w:rsidRDefault="002E20A2" w:rsidP="002C73A6">
            <w:pPr>
              <w:pStyle w:val="Doc-text2"/>
              <w:tabs>
                <w:tab w:val="left" w:pos="340"/>
              </w:tabs>
              <w:ind w:left="340" w:hanging="340"/>
              <w:rPr>
                <w:i/>
              </w:rPr>
            </w:pPr>
          </w:p>
          <w:p w:rsidR="002E20A2" w:rsidRPr="00493E55" w:rsidRDefault="002E20A2" w:rsidP="002C73A6">
            <w:pPr>
              <w:pStyle w:val="Doc-text2"/>
              <w:tabs>
                <w:tab w:val="left" w:pos="340"/>
              </w:tabs>
              <w:ind w:left="340" w:hanging="340"/>
              <w:rPr>
                <w:i/>
              </w:rPr>
            </w:pPr>
            <w:r w:rsidRPr="00493E55">
              <w:rPr>
                <w:i/>
              </w:rPr>
              <w:lastRenderedPageBreak/>
              <w:t>2</w:t>
            </w:r>
            <w:r w:rsidRPr="00493E55">
              <w:rPr>
                <w:i/>
              </w:rPr>
              <w:tab/>
              <w:t xml:space="preserve">There is no need to have an extra procedure from MeNB to SeNB for reporting S-RLF occurrence from RAN2 point of view. </w:t>
            </w:r>
          </w:p>
          <w:p w:rsidR="002E20A2" w:rsidRPr="00493E55" w:rsidRDefault="002E20A2" w:rsidP="002C73A6">
            <w:pPr>
              <w:pStyle w:val="Doc-text2"/>
              <w:tabs>
                <w:tab w:val="left" w:pos="340"/>
              </w:tabs>
              <w:ind w:left="340" w:hanging="340"/>
              <w:rPr>
                <w:i/>
              </w:rPr>
            </w:pPr>
          </w:p>
        </w:tc>
      </w:tr>
    </w:tbl>
    <w:p w:rsidR="002E20A2" w:rsidRPr="00493E55" w:rsidRDefault="002E20A2" w:rsidP="002E20A2">
      <w:pPr>
        <w:pStyle w:val="Doc-text2"/>
        <w:ind w:left="1906"/>
        <w:rPr>
          <w:i/>
        </w:rPr>
      </w:pPr>
    </w:p>
    <w:p w:rsidR="002E20A2" w:rsidRPr="00493E55" w:rsidRDefault="002E20A2" w:rsidP="002E20A2">
      <w:pPr>
        <w:pStyle w:val="Heading2"/>
      </w:pPr>
      <w:r w:rsidRPr="00493E55">
        <w:t>2.2</w:t>
      </w:r>
      <w:r w:rsidRPr="00493E55">
        <w:tab/>
        <w:t>Specifications</w:t>
      </w:r>
    </w:p>
    <w:p w:rsidR="00D76973" w:rsidRPr="00493E55" w:rsidRDefault="00D76973" w:rsidP="00CD4C7B">
      <w:r w:rsidRPr="00493E55">
        <w:t xml:space="preserve">UE behaviour upon RLF detection on SCG is captured in </w:t>
      </w:r>
      <w:hyperlink r:id="rId9" w:history="1">
        <w:r w:rsidRPr="00493E55">
          <w:rPr>
            <w:rStyle w:val="Hyperlink"/>
          </w:rPr>
          <w:t>36.300</w:t>
        </w:r>
      </w:hyperlink>
      <w:r w:rsidRPr="00493E55">
        <w:t xml:space="preserve"> and </w:t>
      </w:r>
      <w:hyperlink r:id="rId10" w:history="1">
        <w:r w:rsidRPr="00493E55">
          <w:rPr>
            <w:rStyle w:val="Hyperlink"/>
          </w:rPr>
          <w:t>36.331</w:t>
        </w:r>
      </w:hyperlink>
      <w:r w:rsidRPr="00493E55">
        <w:t>:</w:t>
      </w:r>
    </w:p>
    <w:p w:rsidR="00D76973" w:rsidRPr="00493E55" w:rsidRDefault="00D76973" w:rsidP="00D76973">
      <w:pPr>
        <w:ind w:left="284"/>
        <w:rPr>
          <w:i/>
          <w:lang w:eastAsia="ja-JP"/>
        </w:rPr>
      </w:pPr>
      <w:r w:rsidRPr="00493E55">
        <w:rPr>
          <w:rFonts w:hint="eastAsia"/>
          <w:i/>
          <w:lang w:eastAsia="ja-JP"/>
        </w:rPr>
        <w:t xml:space="preserve">When DC is </w:t>
      </w:r>
      <w:r w:rsidRPr="00493E55">
        <w:rPr>
          <w:i/>
          <w:lang w:eastAsia="ja-JP"/>
        </w:rPr>
        <w:t>configured</w:t>
      </w:r>
      <w:r w:rsidRPr="00493E55">
        <w:rPr>
          <w:rFonts w:hint="eastAsia"/>
          <w:i/>
          <w:lang w:eastAsia="ja-JP"/>
        </w:rPr>
        <w:t xml:space="preserve">, </w:t>
      </w:r>
      <w:r w:rsidRPr="00493E55">
        <w:rPr>
          <w:i/>
          <w:lang w:eastAsia="ja-JP"/>
        </w:rPr>
        <w:t xml:space="preserve">the </w:t>
      </w:r>
      <w:r w:rsidRPr="00493E55">
        <w:rPr>
          <w:rFonts w:hint="eastAsia"/>
          <w:i/>
          <w:lang w:eastAsia="ja-JP"/>
        </w:rPr>
        <w:t>following principles are applied:</w:t>
      </w:r>
    </w:p>
    <w:p w:rsidR="00D76973" w:rsidRPr="00493E55" w:rsidRDefault="00D76973" w:rsidP="00D76973">
      <w:pPr>
        <w:pStyle w:val="B1"/>
        <w:ind w:left="852"/>
        <w:rPr>
          <w:i/>
          <w:lang w:eastAsia="ja-JP"/>
        </w:rPr>
      </w:pPr>
      <w:r w:rsidRPr="00493E55">
        <w:rPr>
          <w:i/>
          <w:lang w:eastAsia="ja-JP"/>
        </w:rPr>
        <w:t>-</w:t>
      </w:r>
      <w:r w:rsidRPr="00493E55">
        <w:rPr>
          <w:i/>
          <w:lang w:eastAsia="ja-JP"/>
        </w:rPr>
        <w:tab/>
      </w:r>
      <w:r w:rsidRPr="00493E55">
        <w:rPr>
          <w:rFonts w:hint="eastAsia"/>
          <w:i/>
          <w:lang w:eastAsia="ja-JP"/>
        </w:rPr>
        <w:t>T</w:t>
      </w:r>
      <w:r w:rsidRPr="00493E55">
        <w:rPr>
          <w:i/>
          <w:lang w:eastAsia="ja-JP"/>
        </w:rPr>
        <w:t xml:space="preserve">he configured set of serving cells includes all </w:t>
      </w:r>
      <w:r w:rsidRPr="00493E55">
        <w:rPr>
          <w:rFonts w:hint="eastAsia"/>
          <w:i/>
          <w:lang w:eastAsia="ja-JP"/>
        </w:rPr>
        <w:t xml:space="preserve">the </w:t>
      </w:r>
      <w:r w:rsidRPr="00493E55">
        <w:rPr>
          <w:i/>
          <w:lang w:eastAsia="ja-JP"/>
        </w:rPr>
        <w:t>cells from MCG and SCG</w:t>
      </w:r>
      <w:r w:rsidRPr="00493E55">
        <w:rPr>
          <w:rFonts w:hint="eastAsia"/>
          <w:i/>
          <w:lang w:eastAsia="ja-JP"/>
        </w:rPr>
        <w:t xml:space="preserve"> as for CA;</w:t>
      </w:r>
    </w:p>
    <w:p w:rsidR="00D76973" w:rsidRPr="00493E55" w:rsidRDefault="00D76973" w:rsidP="00D76973">
      <w:pPr>
        <w:pStyle w:val="B1"/>
        <w:ind w:left="852"/>
        <w:rPr>
          <w:i/>
          <w:lang w:eastAsia="ja-JP"/>
        </w:rPr>
      </w:pPr>
      <w:r w:rsidRPr="00493E55">
        <w:rPr>
          <w:rFonts w:hint="eastAsia"/>
          <w:i/>
          <w:lang w:eastAsia="ja-JP"/>
        </w:rPr>
        <w:t>-</w:t>
      </w:r>
      <w:r w:rsidRPr="00493E55">
        <w:rPr>
          <w:rFonts w:hint="eastAsia"/>
          <w:i/>
          <w:lang w:eastAsia="ja-JP"/>
        </w:rPr>
        <w:tab/>
        <w:t>The m</w:t>
      </w:r>
      <w:r w:rsidRPr="00493E55">
        <w:rPr>
          <w:i/>
        </w:rPr>
        <w:t>easurement procedure of serving cells belonging to the SeNB shall not be impacted due to RLF of SeNB</w:t>
      </w:r>
      <w:r w:rsidRPr="00493E55">
        <w:rPr>
          <w:rFonts w:hint="eastAsia"/>
          <w:i/>
          <w:lang w:eastAsia="ja-JP"/>
        </w:rPr>
        <w:t>;</w:t>
      </w:r>
    </w:p>
    <w:p w:rsidR="00D76973" w:rsidRPr="00493E55" w:rsidRDefault="00D76973" w:rsidP="00D76973">
      <w:pPr>
        <w:pStyle w:val="B1"/>
        <w:ind w:left="852"/>
        <w:rPr>
          <w:i/>
          <w:lang w:eastAsia="ja-JP"/>
        </w:rPr>
      </w:pPr>
      <w:r w:rsidRPr="00493E55">
        <w:rPr>
          <w:rFonts w:hint="eastAsia"/>
          <w:i/>
          <w:lang w:eastAsia="ja-JP"/>
        </w:rPr>
        <w:t>-</w:t>
      </w:r>
      <w:r w:rsidRPr="00493E55">
        <w:rPr>
          <w:rFonts w:hint="eastAsia"/>
          <w:i/>
          <w:lang w:eastAsia="ja-JP"/>
        </w:rPr>
        <w:tab/>
        <w:t>C</w:t>
      </w:r>
      <w:r w:rsidRPr="00493E55">
        <w:rPr>
          <w:i/>
          <w:lang w:eastAsia="ja-JP"/>
        </w:rPr>
        <w:t xml:space="preserve">ommon gap for the MeNB and the SeNB </w:t>
      </w:r>
      <w:r w:rsidRPr="00493E55">
        <w:rPr>
          <w:rFonts w:hint="eastAsia"/>
          <w:i/>
          <w:lang w:eastAsia="ja-JP"/>
        </w:rPr>
        <w:t xml:space="preserve">is </w:t>
      </w:r>
      <w:r w:rsidRPr="00493E55">
        <w:rPr>
          <w:i/>
          <w:lang w:eastAsia="ja-JP"/>
        </w:rPr>
        <w:t>applied</w:t>
      </w:r>
      <w:r w:rsidRPr="00493E55">
        <w:rPr>
          <w:rFonts w:hint="eastAsia"/>
          <w:i/>
          <w:lang w:eastAsia="ja-JP"/>
        </w:rPr>
        <w:t>;</w:t>
      </w:r>
    </w:p>
    <w:p w:rsidR="00D76973" w:rsidRPr="00493E55" w:rsidRDefault="00D76973" w:rsidP="00D76973">
      <w:pPr>
        <w:pStyle w:val="B2"/>
        <w:ind w:left="1135"/>
        <w:rPr>
          <w:i/>
          <w:lang w:eastAsia="ja-JP"/>
        </w:rPr>
      </w:pPr>
      <w:r w:rsidRPr="00493E55">
        <w:rPr>
          <w:rFonts w:hint="eastAsia"/>
          <w:i/>
          <w:lang w:eastAsia="ja-JP"/>
        </w:rPr>
        <w:t>-</w:t>
      </w:r>
      <w:r w:rsidRPr="00493E55">
        <w:rPr>
          <w:rFonts w:hint="eastAsia"/>
          <w:i/>
          <w:lang w:eastAsia="ja-JP"/>
        </w:rPr>
        <w:tab/>
      </w:r>
      <w:r w:rsidRPr="00493E55">
        <w:rPr>
          <w:i/>
        </w:rPr>
        <w:t xml:space="preserve">There is only a single measurement gap configuration for the UE which is controlled </w:t>
      </w:r>
      <w:r w:rsidRPr="00493E55">
        <w:rPr>
          <w:rFonts w:hint="eastAsia"/>
          <w:i/>
          <w:lang w:eastAsia="ja-JP"/>
        </w:rPr>
        <w:t xml:space="preserve">and informed </w:t>
      </w:r>
      <w:r w:rsidRPr="00493E55">
        <w:rPr>
          <w:i/>
        </w:rPr>
        <w:t>by the MeNB.</w:t>
      </w:r>
    </w:p>
    <w:p w:rsidR="00D76973" w:rsidRPr="00493E55" w:rsidRDefault="00D76973" w:rsidP="00D76973">
      <w:pPr>
        <w:pStyle w:val="B1"/>
        <w:ind w:left="852"/>
        <w:rPr>
          <w:i/>
          <w:lang w:eastAsia="ja-JP"/>
        </w:rPr>
      </w:pPr>
      <w:r w:rsidRPr="00493E55">
        <w:rPr>
          <w:rFonts w:hint="eastAsia"/>
          <w:i/>
          <w:lang w:eastAsia="ja-JP"/>
        </w:rPr>
        <w:t>-</w:t>
      </w:r>
      <w:r w:rsidRPr="00493E55">
        <w:rPr>
          <w:rFonts w:hint="eastAsia"/>
          <w:i/>
          <w:lang w:eastAsia="ja-JP"/>
        </w:rPr>
        <w:tab/>
      </w:r>
      <w:r w:rsidRPr="00493E55">
        <w:rPr>
          <w:i/>
          <w:lang w:eastAsia="ja-JP"/>
        </w:rPr>
        <w:t xml:space="preserve">UE determines the starting point of the measurement gap based on the </w:t>
      </w:r>
      <w:r w:rsidRPr="00493E55">
        <w:rPr>
          <w:rFonts w:hint="eastAsia"/>
          <w:i/>
          <w:lang w:eastAsia="ja-JP"/>
        </w:rPr>
        <w:t xml:space="preserve">SFN, subframe number and </w:t>
      </w:r>
      <w:r w:rsidRPr="00493E55">
        <w:rPr>
          <w:i/>
          <w:lang w:eastAsia="ja-JP"/>
        </w:rPr>
        <w:t>subframe boundaries of the MCG serving cells.</w:t>
      </w:r>
    </w:p>
    <w:p w:rsidR="00D76973" w:rsidRPr="00493E55" w:rsidRDefault="00D76973" w:rsidP="00D76973">
      <w:pPr>
        <w:ind w:left="284"/>
      </w:pPr>
      <w:r w:rsidRPr="00493E55">
        <w:rPr>
          <w:lang w:eastAsia="ja-JP"/>
        </w:rPr>
        <w:t>[…]</w:t>
      </w:r>
    </w:p>
    <w:p w:rsidR="00D76973" w:rsidRPr="00493E55" w:rsidRDefault="00D76973" w:rsidP="00D76973">
      <w:pPr>
        <w:ind w:left="284"/>
        <w:rPr>
          <w:i/>
        </w:rPr>
      </w:pPr>
      <w:r w:rsidRPr="00493E55">
        <w:rPr>
          <w:rFonts w:hint="eastAsia"/>
          <w:i/>
          <w:lang w:eastAsia="ja-JP"/>
        </w:rPr>
        <w:t>For DC, PCell supports above phases. In addition, the first phase of the radio link failure procedure is supported for PSCell.</w:t>
      </w:r>
      <w:r w:rsidRPr="00493E55">
        <w:rPr>
          <w:i/>
        </w:rPr>
        <w:t xml:space="preserve"> </w:t>
      </w:r>
      <w:r w:rsidRPr="00493E55">
        <w:rPr>
          <w:i/>
          <w:lang w:eastAsia="ja-JP"/>
        </w:rPr>
        <w:t>However, upon detecting RLF on th</w:t>
      </w:r>
      <w:r w:rsidRPr="00493E55">
        <w:rPr>
          <w:rFonts w:hint="eastAsia"/>
          <w:i/>
          <w:lang w:eastAsia="zh-TW"/>
        </w:rPr>
        <w:t>e</w:t>
      </w:r>
      <w:r w:rsidRPr="00493E55">
        <w:rPr>
          <w:i/>
          <w:lang w:eastAsia="ja-JP"/>
        </w:rPr>
        <w:t xml:space="preserve"> </w:t>
      </w:r>
      <w:r w:rsidRPr="00493E55">
        <w:rPr>
          <w:rFonts w:hint="eastAsia"/>
          <w:i/>
          <w:lang w:eastAsia="zh-TW"/>
        </w:rPr>
        <w:t>P</w:t>
      </w:r>
      <w:r w:rsidRPr="00493E55">
        <w:rPr>
          <w:i/>
          <w:lang w:eastAsia="ja-JP"/>
        </w:rPr>
        <w:t xml:space="preserve">SCell, the re-establishment </w:t>
      </w:r>
      <w:r w:rsidRPr="00493E55">
        <w:rPr>
          <w:rFonts w:hint="eastAsia"/>
          <w:i/>
          <w:lang w:eastAsia="ja-JP"/>
        </w:rPr>
        <w:t>procedure is not triggered at the end of the first phase. Instead, UE</w:t>
      </w:r>
      <w:r w:rsidRPr="00493E55">
        <w:rPr>
          <w:i/>
          <w:lang w:eastAsia="ja-JP"/>
        </w:rPr>
        <w:t xml:space="preserve"> </w:t>
      </w:r>
      <w:r w:rsidRPr="00493E55">
        <w:rPr>
          <w:rFonts w:hint="eastAsia"/>
          <w:i/>
          <w:lang w:eastAsia="ja-JP"/>
        </w:rPr>
        <w:t xml:space="preserve">shall </w:t>
      </w:r>
      <w:r w:rsidRPr="00493E55">
        <w:rPr>
          <w:i/>
          <w:lang w:eastAsia="ja-JP"/>
        </w:rPr>
        <w:t>inform</w:t>
      </w:r>
      <w:r w:rsidRPr="00493E55">
        <w:rPr>
          <w:rFonts w:hint="eastAsia"/>
          <w:i/>
          <w:lang w:eastAsia="ja-JP"/>
        </w:rPr>
        <w:t xml:space="preserve"> the radio link failure of PSCell to</w:t>
      </w:r>
      <w:r w:rsidRPr="00493E55">
        <w:rPr>
          <w:i/>
          <w:lang w:eastAsia="ja-JP"/>
        </w:rPr>
        <w:t xml:space="preserve"> the MeNB.</w:t>
      </w:r>
    </w:p>
    <w:p w:rsidR="00D76973" w:rsidRPr="00493E55" w:rsidRDefault="00D76973" w:rsidP="00D76973">
      <w:pPr>
        <w:ind w:left="284"/>
      </w:pPr>
      <w:r w:rsidRPr="00493E55">
        <w:rPr>
          <w:lang w:eastAsia="ja-JP"/>
        </w:rPr>
        <w:t>[…]</w:t>
      </w:r>
    </w:p>
    <w:p w:rsidR="00D76973" w:rsidRPr="00493E55" w:rsidRDefault="00D76973" w:rsidP="00D76973">
      <w:pPr>
        <w:ind w:left="284"/>
        <w:rPr>
          <w:i/>
        </w:rPr>
      </w:pPr>
      <w:r w:rsidRPr="00493E55">
        <w:rPr>
          <w:i/>
        </w:rPr>
        <w:t>The UE shall:</w:t>
      </w:r>
    </w:p>
    <w:p w:rsidR="00D76973" w:rsidRPr="00493E55" w:rsidRDefault="00D76973" w:rsidP="00D76973">
      <w:pPr>
        <w:pStyle w:val="B1"/>
        <w:ind w:left="852"/>
        <w:rPr>
          <w:i/>
        </w:rPr>
      </w:pPr>
      <w:r w:rsidRPr="00493E55">
        <w:rPr>
          <w:i/>
        </w:rPr>
        <w:t>1&gt;</w:t>
      </w:r>
      <w:r w:rsidRPr="00493E55">
        <w:rPr>
          <w:i/>
        </w:rPr>
        <w:tab/>
        <w:t>upon T313 expiry; or</w:t>
      </w:r>
    </w:p>
    <w:p w:rsidR="00D76973" w:rsidRPr="00493E55" w:rsidRDefault="00D76973" w:rsidP="00D76973">
      <w:pPr>
        <w:pStyle w:val="B1"/>
        <w:ind w:left="852"/>
        <w:rPr>
          <w:i/>
        </w:rPr>
      </w:pPr>
      <w:r w:rsidRPr="00493E55">
        <w:rPr>
          <w:i/>
        </w:rPr>
        <w:t>1&gt;</w:t>
      </w:r>
      <w:r w:rsidRPr="00493E55">
        <w:rPr>
          <w:i/>
        </w:rPr>
        <w:tab/>
        <w:t>upon random access problem indication from SCG MAC; or</w:t>
      </w:r>
    </w:p>
    <w:p w:rsidR="00D76973" w:rsidRPr="00493E55" w:rsidRDefault="00D76973" w:rsidP="00D76973">
      <w:pPr>
        <w:pStyle w:val="B1"/>
        <w:ind w:left="852"/>
        <w:rPr>
          <w:i/>
        </w:rPr>
      </w:pPr>
      <w:r w:rsidRPr="00493E55">
        <w:rPr>
          <w:i/>
        </w:rPr>
        <w:t>1&gt;</w:t>
      </w:r>
      <w:r w:rsidRPr="00493E55">
        <w:rPr>
          <w:i/>
        </w:rPr>
        <w:tab/>
        <w:t>upon indication from SCG RLC that the maximum number of retransmissions has been reached for an SCG or split DRB:</w:t>
      </w:r>
    </w:p>
    <w:p w:rsidR="00D76973" w:rsidRPr="00493E55" w:rsidRDefault="00D76973" w:rsidP="00D76973">
      <w:pPr>
        <w:pStyle w:val="B2"/>
        <w:ind w:left="1135"/>
        <w:rPr>
          <w:i/>
        </w:rPr>
      </w:pPr>
      <w:r w:rsidRPr="00493E55">
        <w:rPr>
          <w:i/>
        </w:rPr>
        <w:t>2&gt;</w:t>
      </w:r>
      <w:r w:rsidRPr="00493E55">
        <w:rPr>
          <w:i/>
        </w:rPr>
        <w:tab/>
        <w:t>consider radio link failure to be detected for the SCG i.e. SCG-RLF;</w:t>
      </w:r>
    </w:p>
    <w:p w:rsidR="00D76973" w:rsidRPr="00493E55" w:rsidRDefault="00D76973" w:rsidP="00D76973">
      <w:pPr>
        <w:pStyle w:val="B2"/>
        <w:ind w:left="1135"/>
        <w:rPr>
          <w:i/>
        </w:rPr>
      </w:pPr>
      <w:r w:rsidRPr="00493E55">
        <w:rPr>
          <w:i/>
        </w:rPr>
        <w:t>2&gt;</w:t>
      </w:r>
      <w:r w:rsidRPr="00493E55">
        <w:rPr>
          <w:i/>
        </w:rPr>
        <w:tab/>
        <w:t>initiate the SCG failure information procedure as specified in 5.6.13 to report SCG radio link failure;</w:t>
      </w:r>
    </w:p>
    <w:p w:rsidR="00D76973" w:rsidRPr="00493E55" w:rsidRDefault="00D76973" w:rsidP="00D76973">
      <w:pPr>
        <w:ind w:left="284"/>
      </w:pPr>
      <w:bookmarkStart w:id="1" w:name="_Toc462782514"/>
      <w:r w:rsidRPr="00493E55">
        <w:rPr>
          <w:lang w:eastAsia="ja-JP"/>
        </w:rPr>
        <w:t>[…]</w:t>
      </w:r>
    </w:p>
    <w:bookmarkEnd w:id="1"/>
    <w:p w:rsidR="00D76973" w:rsidRPr="00493E55" w:rsidRDefault="00D76973" w:rsidP="00D76973">
      <w:pPr>
        <w:ind w:left="284"/>
        <w:rPr>
          <w:i/>
        </w:rPr>
      </w:pPr>
      <w:r w:rsidRPr="00493E55">
        <w:rPr>
          <w:i/>
        </w:rPr>
        <w:t>A UE initiates the procedure to report SCG failures when SCG transmission is not suspended and when one of the following conditions is met:</w:t>
      </w:r>
    </w:p>
    <w:p w:rsidR="00D76973" w:rsidRPr="00493E55" w:rsidRDefault="00D76973" w:rsidP="00D76973">
      <w:pPr>
        <w:pStyle w:val="B1"/>
        <w:ind w:left="852"/>
        <w:rPr>
          <w:i/>
        </w:rPr>
      </w:pPr>
      <w:r w:rsidRPr="00493E55">
        <w:rPr>
          <w:i/>
        </w:rPr>
        <w:t>1&gt;</w:t>
      </w:r>
      <w:r w:rsidRPr="00493E55">
        <w:rPr>
          <w:i/>
        </w:rPr>
        <w:tab/>
        <w:t>upon detecting radio link failure for the SCG, in accordance with 5.3.11; or</w:t>
      </w:r>
    </w:p>
    <w:p w:rsidR="00D76973" w:rsidRPr="00493E55" w:rsidRDefault="00D76973" w:rsidP="00D76973">
      <w:pPr>
        <w:pStyle w:val="B1"/>
        <w:ind w:left="852"/>
        <w:rPr>
          <w:i/>
        </w:rPr>
      </w:pPr>
      <w:r w:rsidRPr="00493E55">
        <w:rPr>
          <w:i/>
        </w:rPr>
        <w:t>1&gt;</w:t>
      </w:r>
      <w:r w:rsidRPr="00493E55">
        <w:rPr>
          <w:i/>
        </w:rPr>
        <w:tab/>
        <w:t>upon SCG change failure, in accordance with 5.3.5.7a; or</w:t>
      </w:r>
    </w:p>
    <w:p w:rsidR="00D76973" w:rsidRPr="00493E55" w:rsidRDefault="00D76973" w:rsidP="00D76973">
      <w:pPr>
        <w:pStyle w:val="B1"/>
        <w:ind w:left="852"/>
        <w:rPr>
          <w:i/>
        </w:rPr>
      </w:pPr>
      <w:r w:rsidRPr="00493E55">
        <w:rPr>
          <w:i/>
        </w:rPr>
        <w:t>1&gt;</w:t>
      </w:r>
      <w:r w:rsidRPr="00493E55">
        <w:rPr>
          <w:i/>
        </w:rPr>
        <w:tab/>
        <w:t>upon stopping uplink transmission towards the PSCell due to exceeding the maximum uplink transmission timing difference when powerControlMode is configured to 1, in accordance with subclause 7.17.2 of TS 36.133 [29].</w:t>
      </w:r>
    </w:p>
    <w:p w:rsidR="00D76973" w:rsidRPr="00493E55" w:rsidRDefault="00D76973" w:rsidP="00D76973">
      <w:pPr>
        <w:ind w:left="284"/>
        <w:rPr>
          <w:i/>
        </w:rPr>
      </w:pPr>
      <w:r w:rsidRPr="00493E55">
        <w:rPr>
          <w:i/>
        </w:rPr>
        <w:t>Upon initiating the procedure, the UE shall:</w:t>
      </w:r>
    </w:p>
    <w:p w:rsidR="00D76973" w:rsidRPr="00493E55" w:rsidRDefault="00D76973" w:rsidP="00D76973">
      <w:pPr>
        <w:pStyle w:val="B1"/>
        <w:ind w:left="852"/>
        <w:rPr>
          <w:i/>
        </w:rPr>
      </w:pPr>
      <w:r w:rsidRPr="00493E55">
        <w:rPr>
          <w:i/>
        </w:rPr>
        <w:t>1&gt;</w:t>
      </w:r>
      <w:r w:rsidRPr="00493E55">
        <w:rPr>
          <w:i/>
        </w:rPr>
        <w:tab/>
        <w:t>suspend all SCG DRBs and suspend SCG transmission for split DRBs;</w:t>
      </w:r>
    </w:p>
    <w:p w:rsidR="00D76973" w:rsidRPr="00493E55" w:rsidRDefault="00D76973" w:rsidP="00D76973">
      <w:pPr>
        <w:pStyle w:val="B1"/>
        <w:ind w:left="852"/>
        <w:rPr>
          <w:i/>
        </w:rPr>
      </w:pPr>
      <w:r w:rsidRPr="00493E55">
        <w:rPr>
          <w:i/>
        </w:rPr>
        <w:t>1&gt;</w:t>
      </w:r>
      <w:r w:rsidRPr="00493E55">
        <w:rPr>
          <w:i/>
        </w:rPr>
        <w:tab/>
        <w:t>reset SCG-MAC;</w:t>
      </w:r>
    </w:p>
    <w:p w:rsidR="00D76973" w:rsidRPr="00493E55" w:rsidRDefault="00D76973" w:rsidP="00D76973">
      <w:pPr>
        <w:pStyle w:val="B1"/>
        <w:ind w:left="852"/>
        <w:rPr>
          <w:i/>
        </w:rPr>
      </w:pPr>
      <w:r w:rsidRPr="00493E55">
        <w:rPr>
          <w:i/>
        </w:rPr>
        <w:t>1&gt;</w:t>
      </w:r>
      <w:r w:rsidRPr="00493E55">
        <w:rPr>
          <w:i/>
        </w:rPr>
        <w:tab/>
        <w:t>stop T307;</w:t>
      </w:r>
    </w:p>
    <w:p w:rsidR="00D76973" w:rsidRPr="00493E55" w:rsidRDefault="00D76973" w:rsidP="00D76973">
      <w:pPr>
        <w:pStyle w:val="B1"/>
        <w:ind w:left="852"/>
        <w:rPr>
          <w:i/>
        </w:rPr>
      </w:pPr>
      <w:r w:rsidRPr="00493E55">
        <w:rPr>
          <w:i/>
        </w:rPr>
        <w:t>1&gt;</w:t>
      </w:r>
      <w:r w:rsidRPr="00493E55">
        <w:rPr>
          <w:i/>
        </w:rPr>
        <w:tab/>
        <w:t xml:space="preserve">initiate transmission of the </w:t>
      </w:r>
      <w:r w:rsidRPr="00493E55">
        <w:rPr>
          <w:i/>
          <w:iCs/>
        </w:rPr>
        <w:t>SCGFailureInformation</w:t>
      </w:r>
      <w:r w:rsidRPr="00493E55">
        <w:rPr>
          <w:i/>
        </w:rPr>
        <w:t xml:space="preserve"> message in accordance with 5.6.13.3;</w:t>
      </w:r>
    </w:p>
    <w:p w:rsidR="00CD4C7B" w:rsidRPr="00493E55" w:rsidRDefault="00CD4C7B" w:rsidP="001B49C9"/>
    <w:p w:rsidR="00CD4C7B" w:rsidRPr="00493E55" w:rsidRDefault="00CD4C7B" w:rsidP="00CD4C7B">
      <w:pPr>
        <w:pStyle w:val="Heading1"/>
      </w:pPr>
      <w:r w:rsidRPr="00493E55">
        <w:t>3</w:t>
      </w:r>
      <w:r w:rsidRPr="00493E55">
        <w:tab/>
      </w:r>
      <w:r w:rsidR="002E20A2" w:rsidRPr="00493E55">
        <w:t>S-RLF with Tight Interworking</w:t>
      </w:r>
    </w:p>
    <w:p w:rsidR="00CD4C7B" w:rsidRPr="00493E55" w:rsidRDefault="00B24AC9" w:rsidP="00B24AC9">
      <w:r w:rsidRPr="00493E55">
        <w:t>In a cloud implementation, upper layers can span multiple cells and a 5G spotty coverage does not necessarily require re-establishments</w:t>
      </w:r>
      <w:r w:rsidR="00B7077E" w:rsidRPr="00493E55">
        <w:t xml:space="preserve"> as long as SCG split bearer is used</w:t>
      </w:r>
      <w:r w:rsidRPr="00493E55">
        <w:t xml:space="preserve">. </w:t>
      </w:r>
      <w:r w:rsidR="0073658A" w:rsidRPr="00493E55">
        <w:t>This is depicted on Figure 3-1 below where the same CU manages SCell A, B and C. For instance, when the UE, under the coverage of the LTE PCell, moves towards the edge of the PCell, it first sees SCell A, then SCell B and finally SCell C. When SCell A is first met, tight interworking can be setup with an SCG split bearer. Loosing SCell A before adding SCell B should not lead to dropping the SCG bearer since communication with the MCG (the LTE Cell) is still possible. This would avoid frequent path switch with spotty 5G coverage and allow to leverage the benefits of a cloud implementation.</w:t>
      </w:r>
      <w:r w:rsidR="003F5DE3" w:rsidRPr="00493E55">
        <w:t xml:space="preserve"> This has already been captured in the RAN2 TR as “</w:t>
      </w:r>
      <w:r w:rsidR="003F5DE3" w:rsidRPr="00493E55">
        <w:rPr>
          <w:i/>
        </w:rPr>
        <w:t>For UE moving from SN coverage to the area without the coverage of any SN scenario, interruption limited thanks to the ability of the MN to transmit data for the split bearers (e.g., by NW implementation)</w:t>
      </w:r>
      <w:r w:rsidR="003F5DE3" w:rsidRPr="00493E55">
        <w:t>”</w:t>
      </w:r>
    </w:p>
    <w:p w:rsidR="0073658A" w:rsidRPr="00493E55" w:rsidRDefault="0073658A" w:rsidP="00B24AC9">
      <w:r w:rsidRPr="00493E55">
        <w:rPr>
          <w:b/>
        </w:rPr>
        <w:t>Observation 1</w:t>
      </w:r>
      <w:r w:rsidRPr="00493E55">
        <w:t xml:space="preserve">: maintaining SCG split bearer </w:t>
      </w:r>
      <w:r w:rsidR="00B7077E" w:rsidRPr="00493E55">
        <w:t>during</w:t>
      </w:r>
      <w:r w:rsidRPr="00493E55">
        <w:t xml:space="preserve"> loss of </w:t>
      </w:r>
      <w:r w:rsidR="00344526">
        <w:t>NR</w:t>
      </w:r>
      <w:r w:rsidR="00344526" w:rsidRPr="00493E55">
        <w:t xml:space="preserve"> </w:t>
      </w:r>
      <w:r w:rsidR="00E92A0E" w:rsidRPr="00493E55">
        <w:t xml:space="preserve">radio </w:t>
      </w:r>
      <w:r w:rsidRPr="00493E55">
        <w:t>is beneficial.</w:t>
      </w:r>
    </w:p>
    <w:p w:rsidR="0073658A" w:rsidRPr="00493E55" w:rsidRDefault="0073658A" w:rsidP="00B24AC9">
      <w:r w:rsidRPr="00493E55">
        <w:t xml:space="preserve"> </w:t>
      </w:r>
    </w:p>
    <w:p w:rsidR="0073658A" w:rsidRPr="00493E55" w:rsidRDefault="0073658A" w:rsidP="0073658A">
      <w:pPr>
        <w:jc w:val="center"/>
      </w:pPr>
      <w:r w:rsidRPr="00493E55">
        <w:object w:dxaOrig="5592" w:dyaOrig="2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85pt;height:144.7pt" o:ole="">
            <v:imagedata r:id="rId11" o:title=""/>
          </v:shape>
          <o:OLEObject Type="Embed" ProgID="Visio.Drawing.11" ShapeID="_x0000_i1025" DrawAspect="Content" ObjectID="_1551858585" r:id="rId12"/>
        </w:object>
      </w:r>
    </w:p>
    <w:p w:rsidR="0073658A" w:rsidRPr="00493E55" w:rsidRDefault="0073658A" w:rsidP="0073658A">
      <w:pPr>
        <w:pStyle w:val="TF"/>
      </w:pPr>
      <w:r w:rsidRPr="00493E55">
        <w:t>Figure 3-1: Tight Interworking Example</w:t>
      </w:r>
    </w:p>
    <w:p w:rsidR="0073658A" w:rsidRPr="00493E55" w:rsidRDefault="0073658A" w:rsidP="0073658A">
      <w:r w:rsidRPr="00493E55">
        <w:t>This seems</w:t>
      </w:r>
      <w:r w:rsidR="003F5DE3" w:rsidRPr="00493E55">
        <w:t xml:space="preserve"> also</w:t>
      </w:r>
      <w:r w:rsidRPr="00493E55">
        <w:t xml:space="preserve"> aligned with Rel-12 discussions where network actions upon notification of S-RLF are left unspecified. In other words, whether the SCG split bearer is maintained or not upon S-RLF should be a network decision.</w:t>
      </w:r>
    </w:p>
    <w:p w:rsidR="0073658A" w:rsidRPr="00493E55" w:rsidRDefault="0073658A" w:rsidP="0073658A">
      <w:r w:rsidRPr="00493E55">
        <w:rPr>
          <w:b/>
        </w:rPr>
        <w:t>Proposal 1</w:t>
      </w:r>
      <w:r w:rsidR="0036442E" w:rsidRPr="00493E55">
        <w:t>:</w:t>
      </w:r>
      <w:r w:rsidR="0036442E" w:rsidRPr="00493E55">
        <w:rPr>
          <w:b/>
        </w:rPr>
        <w:t xml:space="preserve"> </w:t>
      </w:r>
      <w:r w:rsidR="0036442E" w:rsidRPr="00493E55">
        <w:t xml:space="preserve">whether the SCG split bearer is maintained or not upon S-RLF </w:t>
      </w:r>
      <w:r w:rsidR="00B61ED0" w:rsidRPr="00493E55">
        <w:t xml:space="preserve">in tight interworking </w:t>
      </w:r>
      <w:r w:rsidR="0036442E" w:rsidRPr="00493E55">
        <w:t>should be a network decision.</w:t>
      </w:r>
    </w:p>
    <w:p w:rsidR="00EC2637" w:rsidRPr="00493E55" w:rsidRDefault="00E92A0E" w:rsidP="00EC2637">
      <w:r w:rsidRPr="00493E55">
        <w:t>However, while in Rel-12</w:t>
      </w:r>
      <w:r w:rsidR="00E01111" w:rsidRPr="00493E55">
        <w:t>,</w:t>
      </w:r>
      <w:r w:rsidRPr="00493E55">
        <w:t xml:space="preserve"> SCG change </w:t>
      </w:r>
      <w:r w:rsidR="00BE69FF" w:rsidRPr="00493E55">
        <w:t>was</w:t>
      </w:r>
      <w:r w:rsidRPr="00493E55">
        <w:t xml:space="preserve"> required</w:t>
      </w:r>
      <w:r w:rsidR="00BE69FF" w:rsidRPr="00493E55">
        <w:t xml:space="preserve"> for the UE to “recover” from S-RLF, this is not necessarily the case in a cloud implementation anymore as explained above. Consequently, w</w:t>
      </w:r>
      <w:r w:rsidR="00EC2637" w:rsidRPr="00493E55">
        <w:t xml:space="preserve">hen </w:t>
      </w:r>
      <w:r w:rsidR="00E01111" w:rsidRPr="00493E55">
        <w:t xml:space="preserve">the </w:t>
      </w:r>
      <w:r w:rsidR="00EC2637" w:rsidRPr="00493E55">
        <w:t xml:space="preserve">MeNB receives the </w:t>
      </w:r>
      <w:r w:rsidR="00EC2637" w:rsidRPr="00493E55">
        <w:rPr>
          <w:i/>
        </w:rPr>
        <w:t>SCGFailureInformation</w:t>
      </w:r>
      <w:r w:rsidR="00EC2637" w:rsidRPr="00493E55">
        <w:t xml:space="preserve"> from the UE, </w:t>
      </w:r>
      <w:r w:rsidR="00E01111" w:rsidRPr="00493E55">
        <w:t xml:space="preserve">it </w:t>
      </w:r>
      <w:r w:rsidR="00BE69FF" w:rsidRPr="00493E55">
        <w:t xml:space="preserve">has </w:t>
      </w:r>
      <w:r w:rsidR="00E01111" w:rsidRPr="00493E55">
        <w:t xml:space="preserve">now has </w:t>
      </w:r>
      <w:r w:rsidR="00BE69FF" w:rsidRPr="00493E55">
        <w:t>fo</w:t>
      </w:r>
      <w:r w:rsidR="00E01111" w:rsidRPr="00493E55">
        <w:t>u</w:t>
      </w:r>
      <w:r w:rsidR="00BE69FF" w:rsidRPr="00493E55">
        <w:t>r choices</w:t>
      </w:r>
      <w:r w:rsidR="00EC2637" w:rsidRPr="00493E55">
        <w:t>:</w:t>
      </w:r>
    </w:p>
    <w:p w:rsidR="00EC2637" w:rsidRPr="00493E55" w:rsidRDefault="00EC2637" w:rsidP="00EC2637">
      <w:pPr>
        <w:numPr>
          <w:ilvl w:val="0"/>
          <w:numId w:val="5"/>
        </w:numPr>
      </w:pPr>
      <w:r w:rsidRPr="00493E55">
        <w:t xml:space="preserve">MeNB </w:t>
      </w:r>
      <w:r w:rsidR="00E01111" w:rsidRPr="00493E55">
        <w:t>can release</w:t>
      </w:r>
      <w:r w:rsidRPr="00493E55">
        <w:t xml:space="preserve"> the SCG</w:t>
      </w:r>
      <w:r w:rsidR="00BE69FF" w:rsidRPr="00493E55">
        <w:t xml:space="preserve"> – as in Rel-12</w:t>
      </w:r>
      <w:r w:rsidRPr="00493E55">
        <w:t>;</w:t>
      </w:r>
    </w:p>
    <w:p w:rsidR="00EC2637" w:rsidRPr="00493E55" w:rsidRDefault="00EC2637" w:rsidP="00EC2637">
      <w:pPr>
        <w:numPr>
          <w:ilvl w:val="0"/>
          <w:numId w:val="5"/>
        </w:numPr>
      </w:pPr>
      <w:r w:rsidRPr="00493E55">
        <w:t xml:space="preserve">MeNB </w:t>
      </w:r>
      <w:r w:rsidR="00E01111" w:rsidRPr="00493E55">
        <w:t>can perform</w:t>
      </w:r>
      <w:r w:rsidR="00561080" w:rsidRPr="00493E55">
        <w:t xml:space="preserve"> SCG change to a different Sg</w:t>
      </w:r>
      <w:r w:rsidRPr="00493E55">
        <w:t>NB</w:t>
      </w:r>
      <w:r w:rsidR="00BE69FF" w:rsidRPr="00493E55">
        <w:t xml:space="preserve"> – as in Rel-12</w:t>
      </w:r>
      <w:r w:rsidRPr="00493E55">
        <w:t>;</w:t>
      </w:r>
    </w:p>
    <w:p w:rsidR="00EC2637" w:rsidRPr="00493E55" w:rsidRDefault="00EC2637" w:rsidP="00EC2637">
      <w:pPr>
        <w:numPr>
          <w:ilvl w:val="0"/>
          <w:numId w:val="5"/>
        </w:numPr>
      </w:pPr>
      <w:r w:rsidRPr="00493E55">
        <w:t xml:space="preserve">MeNB </w:t>
      </w:r>
      <w:r w:rsidR="00E01111" w:rsidRPr="00493E55">
        <w:t>can perform</w:t>
      </w:r>
      <w:r w:rsidRPr="00493E55">
        <w:t xml:space="preserve"> SCG change (e.g</w:t>
      </w:r>
      <w:r w:rsidR="00561080" w:rsidRPr="00493E55">
        <w:t>. PSCell release) to the same Sg</w:t>
      </w:r>
      <w:r w:rsidRPr="00493E55">
        <w:t>NB</w:t>
      </w:r>
      <w:r w:rsidR="00BE69FF" w:rsidRPr="00493E55">
        <w:t xml:space="preserve"> – as in Rel-12</w:t>
      </w:r>
      <w:r w:rsidR="00D61585" w:rsidRPr="00493E55">
        <w:t>;</w:t>
      </w:r>
    </w:p>
    <w:p w:rsidR="00D61585" w:rsidRPr="00493E55" w:rsidRDefault="00D61585" w:rsidP="00EC2637">
      <w:pPr>
        <w:numPr>
          <w:ilvl w:val="0"/>
          <w:numId w:val="5"/>
        </w:numPr>
      </w:pPr>
      <w:r w:rsidRPr="00493E55">
        <w:t xml:space="preserve">MeNB </w:t>
      </w:r>
      <w:r w:rsidR="00C31ED7">
        <w:t>only informs the SgNB</w:t>
      </w:r>
      <w:r w:rsidR="00E01111" w:rsidRPr="00493E55">
        <w:t xml:space="preserve"> – new</w:t>
      </w:r>
      <w:r w:rsidRPr="00493E55">
        <w:t>.</w:t>
      </w:r>
    </w:p>
    <w:p w:rsidR="00EC2637" w:rsidRPr="00493E55" w:rsidRDefault="00E01111" w:rsidP="00EC2637">
      <w:r w:rsidRPr="00493E55">
        <w:t>F</w:t>
      </w:r>
      <w:r w:rsidR="00EC2637" w:rsidRPr="00493E55">
        <w:t xml:space="preserve">or cases 1 and 2, </w:t>
      </w:r>
      <w:r w:rsidRPr="00493E55">
        <w:t>the MeNB will release the old Sg</w:t>
      </w:r>
      <w:r w:rsidR="00EC2637" w:rsidRPr="00493E55">
        <w:t>NB</w:t>
      </w:r>
      <w:r w:rsidR="00D61585" w:rsidRPr="00493E55">
        <w:t xml:space="preserve">. </w:t>
      </w:r>
      <w:r w:rsidR="00EC2637" w:rsidRPr="00493E55">
        <w:t xml:space="preserve">For case </w:t>
      </w:r>
      <w:r w:rsidR="00D61585" w:rsidRPr="00493E55">
        <w:t>3</w:t>
      </w:r>
      <w:r w:rsidR="00EC2637" w:rsidRPr="00493E55">
        <w:t xml:space="preserve">, the MeNB will send SCG modification request (likely changing at least the PSCell) to the </w:t>
      </w:r>
      <w:r w:rsidRPr="00493E55">
        <w:t>Sg</w:t>
      </w:r>
      <w:r w:rsidR="00D61585" w:rsidRPr="00493E55">
        <w:t xml:space="preserve">NB. Case 4 </w:t>
      </w:r>
      <w:r w:rsidR="002A7143" w:rsidRPr="00493E55">
        <w:t xml:space="preserve">either mean that the MeNB waits to perform one of the first 3 choices, or </w:t>
      </w:r>
      <w:r w:rsidRPr="00493E55">
        <w:t>relies on the UE and the SgNB</w:t>
      </w:r>
      <w:r w:rsidR="00561080" w:rsidRPr="00493E55">
        <w:t xml:space="preserve"> to select a new PSCell</w:t>
      </w:r>
      <w:r w:rsidR="002A7143" w:rsidRPr="00493E55">
        <w:t xml:space="preserve"> as per the agreement on intra-secondary node mobility: </w:t>
      </w:r>
      <w:r w:rsidR="002A7143" w:rsidRPr="00493E55">
        <w:rPr>
          <w:i/>
        </w:rPr>
        <w:t>Intra-secondary node mobility should be managed by the secondary node itself. PSCell change and SCell addition/release are regarded as the part of the intra-secondary node mobility</w:t>
      </w:r>
      <w:r w:rsidR="002A7143" w:rsidRPr="00493E55">
        <w:t>.</w:t>
      </w:r>
    </w:p>
    <w:p w:rsidR="00EC2637" w:rsidRPr="00493E55" w:rsidRDefault="00D61585" w:rsidP="00EC2637">
      <w:r w:rsidRPr="00493E55">
        <w:rPr>
          <w:b/>
        </w:rPr>
        <w:t xml:space="preserve">Proposal </w:t>
      </w:r>
      <w:r w:rsidR="002A7143" w:rsidRPr="00493E55">
        <w:rPr>
          <w:b/>
        </w:rPr>
        <w:t>2</w:t>
      </w:r>
      <w:r w:rsidRPr="00493E55">
        <w:t>: after</w:t>
      </w:r>
      <w:r w:rsidR="00B54971">
        <w:t xml:space="preserve"> receiving</w:t>
      </w:r>
      <w:r w:rsidRPr="00493E55">
        <w:t xml:space="preserve"> </w:t>
      </w:r>
      <w:r w:rsidR="002A7143" w:rsidRPr="00493E55">
        <w:rPr>
          <w:i/>
        </w:rPr>
        <w:t>SCGFailureInformation</w:t>
      </w:r>
      <w:r w:rsidRPr="00493E55">
        <w:t xml:space="preserve">, the </w:t>
      </w:r>
      <w:r w:rsidR="00561080" w:rsidRPr="00493E55">
        <w:t>MeNB</w:t>
      </w:r>
      <w:r w:rsidRPr="00493E55">
        <w:t xml:space="preserve"> </w:t>
      </w:r>
      <w:r w:rsidR="00B54971">
        <w:t>can notify</w:t>
      </w:r>
      <w:r w:rsidR="00C31ED7">
        <w:t xml:space="preserve"> the SgNB about the failure</w:t>
      </w:r>
      <w:r w:rsidRPr="00493E55">
        <w:t>.</w:t>
      </w:r>
    </w:p>
    <w:p w:rsidR="00B54971" w:rsidRDefault="00B54971" w:rsidP="00B54971">
      <w:r>
        <w:t xml:space="preserve">In Rel-12, only the MeNB was made aware of the S-RLF by the UE through </w:t>
      </w:r>
      <w:r w:rsidRPr="00EC2DE2">
        <w:rPr>
          <w:i/>
        </w:rPr>
        <w:t>SCGFailureInformation</w:t>
      </w:r>
      <w:r>
        <w:t xml:space="preserve">. With tight </w:t>
      </w:r>
      <w:r w:rsidR="0087190C">
        <w:t>interworking,</w:t>
      </w:r>
      <w:r>
        <w:t xml:space="preserve"> though, if a split SRB is configured at the SgNB, there is now the possibility for the UE to directly inform the SgNB even when the </w:t>
      </w:r>
      <w:r w:rsidR="00344526">
        <w:t xml:space="preserve">NR </w:t>
      </w:r>
      <w:r>
        <w:t>coverage fails.</w:t>
      </w:r>
    </w:p>
    <w:p w:rsidR="00B54971" w:rsidRDefault="00B54971" w:rsidP="00B54971">
      <w:r w:rsidRPr="00EC2DE2">
        <w:rPr>
          <w:b/>
        </w:rPr>
        <w:lastRenderedPageBreak/>
        <w:t>Observation 2</w:t>
      </w:r>
      <w:r>
        <w:t xml:space="preserve">: with </w:t>
      </w:r>
      <w:r w:rsidR="00344526">
        <w:t xml:space="preserve">an SRB configured as </w:t>
      </w:r>
      <w:r w:rsidR="00A86588">
        <w:t>SCG Split Bearer</w:t>
      </w:r>
      <w:r>
        <w:t xml:space="preserve">, the UE can </w:t>
      </w:r>
      <w:r w:rsidR="00380C30">
        <w:t>directly</w:t>
      </w:r>
      <w:r>
        <w:t xml:space="preserve"> inform the SgNB of S-RLF.</w:t>
      </w:r>
    </w:p>
    <w:p w:rsidR="00B54971" w:rsidRDefault="00380C30" w:rsidP="00B54971">
      <w:r>
        <w:t>When the Sg</w:t>
      </w:r>
      <w:r w:rsidR="00B54971">
        <w:t>NB receives the RLF indication directly from the UE, the SgNB has two choices:</w:t>
      </w:r>
    </w:p>
    <w:p w:rsidR="00B54971" w:rsidRDefault="00B54971" w:rsidP="00B54971">
      <w:pPr>
        <w:pStyle w:val="B1"/>
      </w:pPr>
      <w:r>
        <w:t>1)</w:t>
      </w:r>
      <w:r>
        <w:tab/>
        <w:t>SgNB can trigger an SCG release – as in Rel-12;</w:t>
      </w:r>
    </w:p>
    <w:p w:rsidR="00B54971" w:rsidRDefault="00B54971" w:rsidP="00B54971">
      <w:pPr>
        <w:pStyle w:val="B1"/>
      </w:pPr>
      <w:r>
        <w:t>2)</w:t>
      </w:r>
      <w:r>
        <w:tab/>
        <w:t>SgNB does nothing – new.</w:t>
      </w:r>
    </w:p>
    <w:p w:rsidR="00B54971" w:rsidRDefault="00B54971" w:rsidP="00B54971">
      <w:r>
        <w:t>For the 1</w:t>
      </w:r>
      <w:r w:rsidRPr="0087190C">
        <w:rPr>
          <w:vertAlign w:val="superscript"/>
        </w:rPr>
        <w:t>st</w:t>
      </w:r>
      <w:r>
        <w:t xml:space="preserve"> case, the SgNB will send a release request to the MeNB. For the 2</w:t>
      </w:r>
      <w:r w:rsidRPr="0087190C">
        <w:rPr>
          <w:vertAlign w:val="superscript"/>
        </w:rPr>
        <w:t>nd</w:t>
      </w:r>
      <w:r>
        <w:t xml:space="preserve"> case, the SgNB will wait for UE access</w:t>
      </w:r>
      <w:r w:rsidR="00B84818">
        <w:t xml:space="preserve"> (re-establishment like procedure)</w:t>
      </w:r>
      <w:r>
        <w:t xml:space="preserve"> or new measurements.</w:t>
      </w:r>
      <w:r w:rsidR="00051DF1">
        <w:t xml:space="preserve"> Hence, depending on the circumstances, SgNB can initiate a release or change of SgNB to the MeNB, or the SgNB can decide to wait to receive further information via UE measurements. That should be left to SgNB implementation.</w:t>
      </w:r>
    </w:p>
    <w:p w:rsidR="00B54971" w:rsidRDefault="00B54971" w:rsidP="00B54971">
      <w:r w:rsidRPr="00493E55">
        <w:rPr>
          <w:b/>
        </w:rPr>
        <w:t xml:space="preserve">Proposal </w:t>
      </w:r>
      <w:r>
        <w:rPr>
          <w:b/>
        </w:rPr>
        <w:t>3</w:t>
      </w:r>
      <w:r w:rsidRPr="00493E55">
        <w:t>: after</w:t>
      </w:r>
      <w:r>
        <w:t xml:space="preserve"> receiving</w:t>
      </w:r>
      <w:r w:rsidRPr="00493E55">
        <w:t xml:space="preserve"> </w:t>
      </w:r>
      <w:r w:rsidRPr="00493E55">
        <w:rPr>
          <w:i/>
        </w:rPr>
        <w:t>SCGFailureInformation</w:t>
      </w:r>
      <w:r w:rsidRPr="00493E55">
        <w:t xml:space="preserve">, </w:t>
      </w:r>
      <w:r w:rsidR="00051DF1">
        <w:t>it is up to the SgNB which action to take (e.g. SgNB release, change of SgNB…)</w:t>
      </w:r>
      <w:r>
        <w:t>.</w:t>
      </w:r>
    </w:p>
    <w:p w:rsidR="00B54971" w:rsidRPr="00493E55" w:rsidRDefault="0087190C" w:rsidP="00B54971">
      <w:r>
        <w:t>Naturally</w:t>
      </w:r>
      <w:r w:rsidR="00B54971">
        <w:t>, whether the MeNB, the SgNB or both are to receive the RLF information should be discussed but it is a discussion that generally applies to SRB handling.</w:t>
      </w:r>
    </w:p>
    <w:p w:rsidR="00BE69FF" w:rsidRPr="00493E55" w:rsidRDefault="00D377DB" w:rsidP="00BE69FF">
      <w:r w:rsidRPr="00493E55">
        <w:t>Going further into details, w</w:t>
      </w:r>
      <w:r w:rsidR="00BE69FF" w:rsidRPr="00493E55">
        <w:t xml:space="preserve">hen compared to Rel-12 mechanisms, we believe that SCG-MAC should still be reset, that SCG transmission for split DRBs should also be suspended and finally that </w:t>
      </w:r>
      <w:r w:rsidR="00BE69FF" w:rsidRPr="00493E55">
        <w:rPr>
          <w:i/>
          <w:iCs/>
        </w:rPr>
        <w:t>SCGFailureInformation</w:t>
      </w:r>
      <w:r w:rsidRPr="00493E55">
        <w:rPr>
          <w:iCs/>
        </w:rPr>
        <w:t xml:space="preserve"> should be sent upon detection of S-RLF.</w:t>
      </w:r>
    </w:p>
    <w:p w:rsidR="00BE69FF" w:rsidRPr="00493E55" w:rsidRDefault="00BE69FF" w:rsidP="00BE69FF">
      <w:r w:rsidRPr="00493E55">
        <w:rPr>
          <w:b/>
        </w:rPr>
        <w:t xml:space="preserve">Proposal </w:t>
      </w:r>
      <w:r w:rsidR="00B54971">
        <w:rPr>
          <w:b/>
        </w:rPr>
        <w:t>4</w:t>
      </w:r>
      <w:r w:rsidRPr="00493E55">
        <w:t xml:space="preserve">: upon S-RLF in tight interworking, SCG transmission is suspended, SCG-MAC is reset and </w:t>
      </w:r>
      <w:r w:rsidRPr="00493E55">
        <w:rPr>
          <w:i/>
          <w:iCs/>
        </w:rPr>
        <w:t>SCGFailureInformation</w:t>
      </w:r>
      <w:r w:rsidRPr="00493E55">
        <w:rPr>
          <w:iCs/>
        </w:rPr>
        <w:t xml:space="preserve"> is sent</w:t>
      </w:r>
      <w:r w:rsidRPr="00493E55">
        <w:t>.</w:t>
      </w:r>
    </w:p>
    <w:p w:rsidR="00BE69FF" w:rsidRDefault="0087190C" w:rsidP="0073658A">
      <w:r>
        <w:t>However, unlike in Rel-12 where it was agreed that “</w:t>
      </w:r>
      <w:r w:rsidRPr="00493E55">
        <w:rPr>
          <w:i/>
        </w:rPr>
        <w:t>UE shall not autonomously change UL transmission direction to MeNB upon S-RLF</w:t>
      </w:r>
      <w:r>
        <w:t xml:space="preserve">”, </w:t>
      </w:r>
      <w:r w:rsidR="007536ED">
        <w:t>UE autonomous action would be</w:t>
      </w:r>
      <w:r>
        <w:t xml:space="preserve"> beneficial </w:t>
      </w:r>
      <w:r w:rsidR="007536ED">
        <w:t xml:space="preserve">to maintain communication </w:t>
      </w:r>
      <w:r w:rsidR="00C4432D">
        <w:t>as explained above</w:t>
      </w:r>
      <w:r>
        <w:t>.</w:t>
      </w:r>
    </w:p>
    <w:p w:rsidR="00C4432D" w:rsidRPr="00493E55" w:rsidRDefault="00C4432D" w:rsidP="0073658A">
      <w:r w:rsidRPr="00187DB0">
        <w:rPr>
          <w:b/>
        </w:rPr>
        <w:t>Proposal 5</w:t>
      </w:r>
      <w:r>
        <w:t>: upon S-RLF, the UE changes the UL transmission direction from the SgNB to the MeNB.</w:t>
      </w:r>
    </w:p>
    <w:p w:rsidR="00CD4C7B" w:rsidRPr="00493E55" w:rsidRDefault="00B61ED0" w:rsidP="00CD4C7B">
      <w:pPr>
        <w:pStyle w:val="Heading1"/>
      </w:pPr>
      <w:r w:rsidRPr="00493E55">
        <w:t>Conclusions</w:t>
      </w:r>
    </w:p>
    <w:p w:rsidR="00CD4C7B" w:rsidRPr="00493E55" w:rsidRDefault="00D61585" w:rsidP="00CD4C7B">
      <w:r w:rsidRPr="00493E55">
        <w:t>This contribution has discussed the impacts of S-RLF in tight interworking. To leverage the benefits of the SCG split bearer</w:t>
      </w:r>
      <w:r w:rsidR="0087190C">
        <w:t xml:space="preserve"> and handle 5G coverage holes gracefully</w:t>
      </w:r>
      <w:r w:rsidRPr="00493E55">
        <w:t>, the following was proposed:</w:t>
      </w:r>
    </w:p>
    <w:p w:rsidR="00A86588" w:rsidRPr="00493E55" w:rsidRDefault="00A86588" w:rsidP="00A86588">
      <w:r w:rsidRPr="00493E55">
        <w:rPr>
          <w:b/>
        </w:rPr>
        <w:t>Observation 1</w:t>
      </w:r>
      <w:r w:rsidRPr="00493E55">
        <w:t xml:space="preserve">: maintaining SCG split bearer during loss of </w:t>
      </w:r>
      <w:r>
        <w:t>NR</w:t>
      </w:r>
      <w:r w:rsidRPr="00493E55">
        <w:t xml:space="preserve"> radio is beneficial.</w:t>
      </w:r>
    </w:p>
    <w:p w:rsidR="00D61585" w:rsidRPr="00493E55" w:rsidRDefault="00D61585" w:rsidP="00D61585">
      <w:r w:rsidRPr="00493E55">
        <w:rPr>
          <w:b/>
        </w:rPr>
        <w:t>Proposal 1</w:t>
      </w:r>
      <w:r w:rsidRPr="00493E55">
        <w:t>:</w:t>
      </w:r>
      <w:r w:rsidRPr="00493E55">
        <w:rPr>
          <w:b/>
        </w:rPr>
        <w:t xml:space="preserve"> </w:t>
      </w:r>
      <w:r w:rsidRPr="00493E55">
        <w:t>whether the SCG split bearer is maintained or not upon S-RLF in tight interworking should be a network decision.</w:t>
      </w:r>
    </w:p>
    <w:p w:rsidR="00B54971" w:rsidRPr="00493E55" w:rsidRDefault="00B54971" w:rsidP="00B54971">
      <w:r w:rsidRPr="00493E55">
        <w:rPr>
          <w:b/>
        </w:rPr>
        <w:t>Proposal 2</w:t>
      </w:r>
      <w:r w:rsidRPr="00493E55">
        <w:t>: after</w:t>
      </w:r>
      <w:r>
        <w:t xml:space="preserve"> receiving</w:t>
      </w:r>
      <w:r w:rsidRPr="00493E55">
        <w:t xml:space="preserve"> </w:t>
      </w:r>
      <w:r w:rsidRPr="00493E55">
        <w:rPr>
          <w:i/>
        </w:rPr>
        <w:t>SCGFailureInformation</w:t>
      </w:r>
      <w:r w:rsidRPr="00493E55">
        <w:t xml:space="preserve">, the MeNB </w:t>
      </w:r>
      <w:r>
        <w:t>can notify the SgNB about the failure</w:t>
      </w:r>
      <w:r w:rsidRPr="00493E55">
        <w:t>.</w:t>
      </w:r>
    </w:p>
    <w:p w:rsidR="00A86588" w:rsidRDefault="00A86588" w:rsidP="00A86588">
      <w:r w:rsidRPr="00EC2DE2">
        <w:rPr>
          <w:b/>
        </w:rPr>
        <w:t>Observation 2</w:t>
      </w:r>
      <w:r>
        <w:t xml:space="preserve">: with an SRB configured as SCG Split Bearer, the UE can </w:t>
      </w:r>
      <w:r w:rsidR="00187DB0">
        <w:t>directly</w:t>
      </w:r>
      <w:r>
        <w:t xml:space="preserve"> inform the SgNB of S-RLF.</w:t>
      </w:r>
    </w:p>
    <w:p w:rsidR="00051DF1" w:rsidRDefault="00051DF1" w:rsidP="00051DF1">
      <w:r w:rsidRPr="00493E55">
        <w:rPr>
          <w:b/>
        </w:rPr>
        <w:t xml:space="preserve">Proposal </w:t>
      </w:r>
      <w:r>
        <w:rPr>
          <w:b/>
        </w:rPr>
        <w:t>3</w:t>
      </w:r>
      <w:r w:rsidRPr="00493E55">
        <w:t>: after</w:t>
      </w:r>
      <w:r>
        <w:t xml:space="preserve"> receiving</w:t>
      </w:r>
      <w:r w:rsidRPr="00493E55">
        <w:t xml:space="preserve"> </w:t>
      </w:r>
      <w:r w:rsidRPr="00493E55">
        <w:rPr>
          <w:i/>
        </w:rPr>
        <w:t>SCGFailureInformation</w:t>
      </w:r>
      <w:r w:rsidRPr="00493E55">
        <w:t xml:space="preserve">, </w:t>
      </w:r>
      <w:r>
        <w:t>it is up to the SgNB which action to take (e.g. SgNB release, change of SgNB…).</w:t>
      </w:r>
    </w:p>
    <w:p w:rsidR="00B54971" w:rsidRPr="00493E55" w:rsidRDefault="00B54971" w:rsidP="00B54971">
      <w:r w:rsidRPr="00493E55">
        <w:rPr>
          <w:b/>
        </w:rPr>
        <w:t xml:space="preserve">Proposal </w:t>
      </w:r>
      <w:r>
        <w:rPr>
          <w:b/>
        </w:rPr>
        <w:t>4</w:t>
      </w:r>
      <w:r w:rsidRPr="00493E55">
        <w:t xml:space="preserve">: upon S-RLF in tight interworking, SCG transmission is suspended, SCG-MAC is reset and </w:t>
      </w:r>
      <w:r w:rsidRPr="00493E55">
        <w:rPr>
          <w:i/>
          <w:iCs/>
        </w:rPr>
        <w:t>SCGFailureInformation</w:t>
      </w:r>
      <w:r w:rsidRPr="00493E55">
        <w:rPr>
          <w:iCs/>
        </w:rPr>
        <w:t xml:space="preserve"> is sent</w:t>
      </w:r>
      <w:r w:rsidRPr="00493E55">
        <w:t>.</w:t>
      </w:r>
    </w:p>
    <w:p w:rsidR="00D61585" w:rsidRDefault="00BF2F0C" w:rsidP="00D61585">
      <w:r w:rsidRPr="00B54795">
        <w:rPr>
          <w:b/>
        </w:rPr>
        <w:t>Proposal 5</w:t>
      </w:r>
      <w:r>
        <w:t>: upon S-RLF, the UE changes the UL transmission direction from the SgNB to the MeNB.</w:t>
      </w:r>
    </w:p>
    <w:p w:rsidR="00080512" w:rsidRPr="00CD4C7B" w:rsidRDefault="00080512" w:rsidP="00CD4C7B">
      <w:bookmarkStart w:id="2" w:name="_GoBack"/>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F1" w:rsidRDefault="003333F1">
      <w:r>
        <w:separator/>
      </w:r>
    </w:p>
  </w:endnote>
  <w:endnote w:type="continuationSeparator" w:id="0">
    <w:p w:rsidR="003333F1" w:rsidRDefault="00333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F1" w:rsidRDefault="003333F1">
      <w:r>
        <w:separator/>
      </w:r>
    </w:p>
  </w:footnote>
  <w:footnote w:type="continuationSeparator" w:id="0">
    <w:p w:rsidR="003333F1" w:rsidRDefault="00333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17007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B49"/>
    <w:rsid w:val="00033397"/>
    <w:rsid w:val="000362C4"/>
    <w:rsid w:val="00040095"/>
    <w:rsid w:val="00051DF1"/>
    <w:rsid w:val="00073147"/>
    <w:rsid w:val="00080512"/>
    <w:rsid w:val="00090468"/>
    <w:rsid w:val="000B7BCF"/>
    <w:rsid w:val="000C522B"/>
    <w:rsid w:val="000D58AB"/>
    <w:rsid w:val="000E3E14"/>
    <w:rsid w:val="000F4E32"/>
    <w:rsid w:val="00145075"/>
    <w:rsid w:val="001741A0"/>
    <w:rsid w:val="00187DB0"/>
    <w:rsid w:val="00194CD0"/>
    <w:rsid w:val="001B49C9"/>
    <w:rsid w:val="001E4168"/>
    <w:rsid w:val="001F168B"/>
    <w:rsid w:val="001F7831"/>
    <w:rsid w:val="00204045"/>
    <w:rsid w:val="0022606D"/>
    <w:rsid w:val="002747EC"/>
    <w:rsid w:val="002855BF"/>
    <w:rsid w:val="002A7143"/>
    <w:rsid w:val="002E20A2"/>
    <w:rsid w:val="002F0D22"/>
    <w:rsid w:val="003172DC"/>
    <w:rsid w:val="00326069"/>
    <w:rsid w:val="003333F1"/>
    <w:rsid w:val="0034253A"/>
    <w:rsid w:val="00344526"/>
    <w:rsid w:val="0035462D"/>
    <w:rsid w:val="0036442E"/>
    <w:rsid w:val="00367DD2"/>
    <w:rsid w:val="00380C30"/>
    <w:rsid w:val="003849B8"/>
    <w:rsid w:val="003B40AD"/>
    <w:rsid w:val="003C4E37"/>
    <w:rsid w:val="003E16BE"/>
    <w:rsid w:val="003F5DE3"/>
    <w:rsid w:val="00400709"/>
    <w:rsid w:val="00401855"/>
    <w:rsid w:val="00416592"/>
    <w:rsid w:val="0047046C"/>
    <w:rsid w:val="00477455"/>
    <w:rsid w:val="00477E20"/>
    <w:rsid w:val="00493E55"/>
    <w:rsid w:val="004D3578"/>
    <w:rsid w:val="004D380D"/>
    <w:rsid w:val="004E213A"/>
    <w:rsid w:val="00503171"/>
    <w:rsid w:val="00506C28"/>
    <w:rsid w:val="0051539F"/>
    <w:rsid w:val="00534DA0"/>
    <w:rsid w:val="00543E6C"/>
    <w:rsid w:val="00561080"/>
    <w:rsid w:val="00565087"/>
    <w:rsid w:val="0056573F"/>
    <w:rsid w:val="005B3691"/>
    <w:rsid w:val="005B6813"/>
    <w:rsid w:val="005D1B20"/>
    <w:rsid w:val="005D4DFD"/>
    <w:rsid w:val="0060446D"/>
    <w:rsid w:val="00611566"/>
    <w:rsid w:val="00642E08"/>
    <w:rsid w:val="00646D99"/>
    <w:rsid w:val="00656910"/>
    <w:rsid w:val="006B0FE4"/>
    <w:rsid w:val="006C66D8"/>
    <w:rsid w:val="006D1E24"/>
    <w:rsid w:val="006E1417"/>
    <w:rsid w:val="006F6A2C"/>
    <w:rsid w:val="00734A5B"/>
    <w:rsid w:val="0073658A"/>
    <w:rsid w:val="00744E76"/>
    <w:rsid w:val="007536ED"/>
    <w:rsid w:val="00757D40"/>
    <w:rsid w:val="00781F0F"/>
    <w:rsid w:val="0078727C"/>
    <w:rsid w:val="0079049D"/>
    <w:rsid w:val="007A258D"/>
    <w:rsid w:val="007B18D8"/>
    <w:rsid w:val="007C095F"/>
    <w:rsid w:val="007C1DCA"/>
    <w:rsid w:val="007E690E"/>
    <w:rsid w:val="008028A4"/>
    <w:rsid w:val="00813245"/>
    <w:rsid w:val="008605D2"/>
    <w:rsid w:val="0087190C"/>
    <w:rsid w:val="008768CA"/>
    <w:rsid w:val="00877EF9"/>
    <w:rsid w:val="00880559"/>
    <w:rsid w:val="00897D94"/>
    <w:rsid w:val="008B5306"/>
    <w:rsid w:val="0090271F"/>
    <w:rsid w:val="00902DB9"/>
    <w:rsid w:val="0090466A"/>
    <w:rsid w:val="00936071"/>
    <w:rsid w:val="00940212"/>
    <w:rsid w:val="00942EC2"/>
    <w:rsid w:val="00950D72"/>
    <w:rsid w:val="00961B32"/>
    <w:rsid w:val="00974BB0"/>
    <w:rsid w:val="009A0AF3"/>
    <w:rsid w:val="009B07CD"/>
    <w:rsid w:val="009C19E9"/>
    <w:rsid w:val="00A10F02"/>
    <w:rsid w:val="00A204CA"/>
    <w:rsid w:val="00A53724"/>
    <w:rsid w:val="00A82346"/>
    <w:rsid w:val="00A84F56"/>
    <w:rsid w:val="00A86588"/>
    <w:rsid w:val="00A9671C"/>
    <w:rsid w:val="00AA1553"/>
    <w:rsid w:val="00AF2C13"/>
    <w:rsid w:val="00B15449"/>
    <w:rsid w:val="00B24AC9"/>
    <w:rsid w:val="00B47FD1"/>
    <w:rsid w:val="00B51374"/>
    <w:rsid w:val="00B516BB"/>
    <w:rsid w:val="00B54971"/>
    <w:rsid w:val="00B61ED0"/>
    <w:rsid w:val="00B7077E"/>
    <w:rsid w:val="00B735CF"/>
    <w:rsid w:val="00B84818"/>
    <w:rsid w:val="00BB0ADA"/>
    <w:rsid w:val="00BB5DF5"/>
    <w:rsid w:val="00BD06B6"/>
    <w:rsid w:val="00BE69FF"/>
    <w:rsid w:val="00BF2F0C"/>
    <w:rsid w:val="00C12B51"/>
    <w:rsid w:val="00C24650"/>
    <w:rsid w:val="00C31ED7"/>
    <w:rsid w:val="00C33079"/>
    <w:rsid w:val="00C4432D"/>
    <w:rsid w:val="00C83A13"/>
    <w:rsid w:val="00C92967"/>
    <w:rsid w:val="00CA3D0C"/>
    <w:rsid w:val="00CA654B"/>
    <w:rsid w:val="00CD4C7B"/>
    <w:rsid w:val="00D377DB"/>
    <w:rsid w:val="00D61585"/>
    <w:rsid w:val="00D738D6"/>
    <w:rsid w:val="00D76973"/>
    <w:rsid w:val="00D80795"/>
    <w:rsid w:val="00D87E00"/>
    <w:rsid w:val="00D9134D"/>
    <w:rsid w:val="00D96D11"/>
    <w:rsid w:val="00DA1930"/>
    <w:rsid w:val="00DA7A03"/>
    <w:rsid w:val="00DB1818"/>
    <w:rsid w:val="00DC309B"/>
    <w:rsid w:val="00DC4DA2"/>
    <w:rsid w:val="00E01111"/>
    <w:rsid w:val="00E62835"/>
    <w:rsid w:val="00E77645"/>
    <w:rsid w:val="00E83697"/>
    <w:rsid w:val="00E92A0E"/>
    <w:rsid w:val="00EC2637"/>
    <w:rsid w:val="00EC4A25"/>
    <w:rsid w:val="00EC6F9E"/>
    <w:rsid w:val="00F025A2"/>
    <w:rsid w:val="00F07388"/>
    <w:rsid w:val="00F2026E"/>
    <w:rsid w:val="00F2210A"/>
    <w:rsid w:val="00F37743"/>
    <w:rsid w:val="00F54A3D"/>
    <w:rsid w:val="00F653B8"/>
    <w:rsid w:val="00F71B89"/>
    <w:rsid w:val="00F7353C"/>
    <w:rsid w:val="00F76F8F"/>
    <w:rsid w:val="00FA1266"/>
    <w:rsid w:val="00FC1192"/>
    <w:rsid w:val="00FF45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75A8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B1Zchn">
    <w:name w:val="B1 Zchn"/>
    <w:link w:val="B1"/>
    <w:rsid w:val="00D76973"/>
    <w:rPr>
      <w:lang w:eastAsia="en-US"/>
    </w:rPr>
  </w:style>
  <w:style w:type="character" w:customStyle="1" w:styleId="B2Car">
    <w:name w:val="B2 Car"/>
    <w:link w:val="B2"/>
    <w:rsid w:val="00D76973"/>
    <w:rPr>
      <w:lang w:eastAsia="en-US"/>
    </w:rPr>
  </w:style>
  <w:style w:type="character" w:customStyle="1" w:styleId="B1Char1">
    <w:name w:val="B1 Char1"/>
    <w:rsid w:val="00D76973"/>
    <w:rPr>
      <w:rFonts w:ascii="Times New Roman" w:hAnsi="Times New Roman"/>
      <w:lang w:val="en-GB"/>
    </w:rPr>
  </w:style>
  <w:style w:type="character" w:customStyle="1" w:styleId="B2Char">
    <w:name w:val="B2 Char"/>
    <w:rsid w:val="00D76973"/>
    <w:rPr>
      <w:rFonts w:ascii="Times New Roman" w:hAnsi="Times New Roman"/>
      <w:lang w:val="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D7697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D76973"/>
    <w:rPr>
      <w:rFonts w:ascii="Arial" w:hAnsi="Arial"/>
      <w:sz w:val="24"/>
      <w:lang w:eastAsia="en-US"/>
    </w:rPr>
  </w:style>
  <w:style w:type="character" w:customStyle="1" w:styleId="NOChar">
    <w:name w:val="NO Char"/>
    <w:link w:val="NO"/>
    <w:rsid w:val="00D76973"/>
    <w:rPr>
      <w:lang w:eastAsia="en-US"/>
    </w:rPr>
  </w:style>
  <w:style w:type="character" w:customStyle="1" w:styleId="THChar">
    <w:name w:val="TH Char"/>
    <w:link w:val="TH"/>
    <w:rsid w:val="00D76973"/>
    <w:rPr>
      <w:rFonts w:ascii="Arial" w:hAnsi="Arial"/>
      <w:b/>
      <w:lang w:eastAsia="en-US"/>
    </w:rPr>
  </w:style>
  <w:style w:type="character" w:customStyle="1" w:styleId="TFChar">
    <w:name w:val="TF Char"/>
    <w:link w:val="TF"/>
    <w:rsid w:val="00D76973"/>
    <w:rPr>
      <w:rFonts w:ascii="Arial" w:hAnsi="Arial"/>
      <w:b/>
      <w:lang w:eastAsia="en-US"/>
    </w:rPr>
  </w:style>
  <w:style w:type="paragraph" w:customStyle="1" w:styleId="Doc-title">
    <w:name w:val="Doc-title"/>
    <w:basedOn w:val="Normal"/>
    <w:next w:val="Doc-text2"/>
    <w:link w:val="Doc-titleChar"/>
    <w:qFormat/>
    <w:rsid w:val="002E20A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E20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E20A2"/>
    <w:rPr>
      <w:rFonts w:ascii="Arial" w:eastAsia="MS Mincho" w:hAnsi="Arial"/>
      <w:szCs w:val="24"/>
    </w:rPr>
  </w:style>
  <w:style w:type="character" w:customStyle="1" w:styleId="Doc-titleChar">
    <w:name w:val="Doc-title Char"/>
    <w:link w:val="Doc-title"/>
    <w:rsid w:val="002E20A2"/>
    <w:rPr>
      <w:rFonts w:ascii="Arial" w:eastAsia="MS Mincho" w:hAnsi="Arial"/>
      <w:noProof/>
      <w:szCs w:val="24"/>
    </w:rPr>
  </w:style>
  <w:style w:type="paragraph" w:customStyle="1" w:styleId="Comments">
    <w:name w:val="Comments"/>
    <w:basedOn w:val="Normal"/>
    <w:link w:val="CommentsChar"/>
    <w:qFormat/>
    <w:rsid w:val="002E20A2"/>
    <w:pPr>
      <w:spacing w:before="40" w:after="0"/>
    </w:pPr>
    <w:rPr>
      <w:rFonts w:ascii="Arial" w:eastAsia="MS Mincho" w:hAnsi="Arial"/>
      <w:i/>
      <w:noProof/>
      <w:sz w:val="18"/>
      <w:szCs w:val="24"/>
      <w:lang w:eastAsia="en-GB"/>
    </w:rPr>
  </w:style>
  <w:style w:type="character" w:customStyle="1" w:styleId="CommentsChar">
    <w:name w:val="Comments Char"/>
    <w:link w:val="Comments"/>
    <w:rsid w:val="002E20A2"/>
    <w:rPr>
      <w:rFonts w:ascii="Arial" w:eastAsia="MS Mincho" w:hAnsi="Arial"/>
      <w:i/>
      <w:noProof/>
      <w:sz w:val="18"/>
      <w:szCs w:val="24"/>
    </w:rPr>
  </w:style>
  <w:style w:type="character" w:styleId="FollowedHyperlink">
    <w:name w:val="FollowedHyperlink"/>
    <w:basedOn w:val="DefaultParagraphFont"/>
    <w:rsid w:val="002E20A2"/>
    <w:rPr>
      <w:color w:val="954F72" w:themeColor="followedHyperlink"/>
      <w:u w:val="single"/>
    </w:rPr>
  </w:style>
  <w:style w:type="paragraph" w:styleId="BalloonText">
    <w:name w:val="Balloon Text"/>
    <w:basedOn w:val="Normal"/>
    <w:link w:val="BalloonTextChar"/>
    <w:rsid w:val="0047046C"/>
    <w:pPr>
      <w:spacing w:after="0"/>
    </w:pPr>
    <w:rPr>
      <w:rFonts w:ascii="Segoe UI" w:hAnsi="Segoe UI" w:cs="Segoe UI"/>
      <w:sz w:val="18"/>
      <w:szCs w:val="18"/>
    </w:rPr>
  </w:style>
  <w:style w:type="character" w:customStyle="1" w:styleId="BalloonTextChar">
    <w:name w:val="Balloon Text Char"/>
    <w:basedOn w:val="DefaultParagraphFont"/>
    <w:link w:val="BalloonText"/>
    <w:rsid w:val="0047046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208596">
      <w:bodyDiv w:val="1"/>
      <w:marLeft w:val="0"/>
      <w:marRight w:val="0"/>
      <w:marTop w:val="0"/>
      <w:marBottom w:val="0"/>
      <w:divBdr>
        <w:top w:val="none" w:sz="0" w:space="0" w:color="auto"/>
        <w:left w:val="none" w:sz="0" w:space="0" w:color="auto"/>
        <w:bottom w:val="none" w:sz="0" w:space="0" w:color="auto"/>
        <w:right w:val="none" w:sz="0" w:space="0" w:color="auto"/>
      </w:divBdr>
    </w:div>
    <w:div w:id="168605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88/Docs/R2-144867.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ftp.3gpp.org/tsg_ran/WG2_RL2/TSGR2_87bis/Docs//R2-144540.zip"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0" Type="http://schemas.openxmlformats.org/officeDocument/2006/relationships/hyperlink" Target="http://www.3gpp.org/ftp/Specs/html-info/36331.htm" TargetMode="External"/><Relationship Id="rId4" Type="http://schemas.openxmlformats.org/officeDocument/2006/relationships/webSettings" Target="webSettings.xml"/><Relationship Id="rId9" Type="http://schemas.openxmlformats.org/officeDocument/2006/relationships/hyperlink" Target="http://www.3gpp.org/ftp/Specs/html-info/363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542</TotalTime>
  <Pages>5</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44</cp:revision>
  <dcterms:created xsi:type="dcterms:W3CDTF">2016-08-12T03:53:00Z</dcterms:created>
  <dcterms:modified xsi:type="dcterms:W3CDTF">2017-03-24T02:03:00Z</dcterms:modified>
</cp:coreProperties>
</file>